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15" w:rsidRDefault="00561115" w:rsidP="00561115">
      <w:pPr>
        <w:spacing w:after="180"/>
        <w:rPr>
          <w:rFonts w:ascii="Calibri" w:hAnsi="Calibri"/>
          <w:b/>
          <w:color w:val="365F91" w:themeColor="accent1" w:themeShade="BF"/>
          <w:sz w:val="40"/>
          <w:szCs w:val="20"/>
        </w:rPr>
      </w:pPr>
      <w:r w:rsidRPr="00136211">
        <w:rPr>
          <w:noProof/>
          <w:lang w:eastAsia="en-GB"/>
        </w:rPr>
        <w:drawing>
          <wp:inline distT="0" distB="0" distL="0" distR="0" wp14:anchorId="296B81C6" wp14:editId="1C5E5E47">
            <wp:extent cx="2862470" cy="79429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8C38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399" cy="79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115" w:rsidRDefault="00561115" w:rsidP="00561115">
      <w:pPr>
        <w:spacing w:after="180"/>
        <w:rPr>
          <w:rFonts w:ascii="Calibri" w:hAnsi="Calibri" w:cs="Times New Roman"/>
          <w:sz w:val="22"/>
          <w:szCs w:val="22"/>
        </w:rPr>
      </w:pPr>
    </w:p>
    <w:p w:rsidR="00561115" w:rsidRPr="004105D2" w:rsidRDefault="00561115" w:rsidP="00561115">
      <w:pPr>
        <w:spacing w:after="180"/>
        <w:rPr>
          <w:rFonts w:ascii="Calibri" w:hAnsi="Calibri" w:cs="Times New Roman"/>
          <w:sz w:val="22"/>
          <w:szCs w:val="22"/>
        </w:rPr>
      </w:pPr>
    </w:p>
    <w:p w:rsidR="007B11CF" w:rsidRPr="007B11CF" w:rsidRDefault="007B11CF" w:rsidP="003256A4">
      <w:pPr>
        <w:spacing w:after="180"/>
        <w:rPr>
          <w:rFonts w:ascii="Calibri" w:hAnsi="Calibri"/>
          <w:b/>
          <w:color w:val="365F91" w:themeColor="accent1" w:themeShade="BF"/>
          <w:sz w:val="40"/>
          <w:szCs w:val="20"/>
        </w:rPr>
      </w:pPr>
      <w:r w:rsidRPr="007B11CF">
        <w:rPr>
          <w:rFonts w:ascii="Calibri" w:hAnsi="Calibri"/>
          <w:b/>
          <w:color w:val="365F91" w:themeColor="accent1" w:themeShade="BF"/>
          <w:sz w:val="40"/>
          <w:szCs w:val="20"/>
        </w:rPr>
        <w:t>Reporting trend magnitudes for different categories of short</w:t>
      </w:r>
      <w:r>
        <w:rPr>
          <w:rFonts w:ascii="Calibri" w:hAnsi="Calibri"/>
          <w:b/>
          <w:color w:val="365F91" w:themeColor="accent1" w:themeShade="BF"/>
          <w:sz w:val="40"/>
          <w:szCs w:val="20"/>
        </w:rPr>
        <w:t>- and long-</w:t>
      </w:r>
      <w:r w:rsidR="00476E29">
        <w:rPr>
          <w:rFonts w:ascii="Calibri" w:hAnsi="Calibri"/>
          <w:b/>
          <w:color w:val="365F91" w:themeColor="accent1" w:themeShade="BF"/>
          <w:sz w:val="40"/>
          <w:szCs w:val="20"/>
        </w:rPr>
        <w:t>term trend</w:t>
      </w:r>
    </w:p>
    <w:p w:rsidR="007B11CF" w:rsidRPr="009D0F35" w:rsidRDefault="00963438" w:rsidP="003256A4">
      <w:pPr>
        <w:spacing w:before="60" w:after="6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Duri</w:t>
      </w:r>
      <w:r w:rsidR="007B11CF" w:rsidRPr="009D0F35">
        <w:rPr>
          <w:rFonts w:ascii="Calibri" w:hAnsi="Calibri" w:cs="Times New Roman"/>
          <w:sz w:val="22"/>
          <w:szCs w:val="22"/>
        </w:rPr>
        <w:t>n</w:t>
      </w:r>
      <w:r>
        <w:rPr>
          <w:rFonts w:ascii="Calibri" w:hAnsi="Calibri" w:cs="Times New Roman"/>
          <w:sz w:val="22"/>
          <w:szCs w:val="22"/>
        </w:rPr>
        <w:t>g</w:t>
      </w:r>
      <w:r w:rsidR="007B11CF" w:rsidRPr="009D0F35">
        <w:rPr>
          <w:rFonts w:ascii="Calibri" w:hAnsi="Calibri" w:cs="Times New Roman"/>
          <w:sz w:val="22"/>
          <w:szCs w:val="22"/>
        </w:rPr>
        <w:t xml:space="preserve"> the reporting round</w:t>
      </w:r>
      <w:r>
        <w:rPr>
          <w:rFonts w:ascii="Calibri" w:hAnsi="Calibri" w:cs="Times New Roman"/>
          <w:sz w:val="22"/>
          <w:szCs w:val="22"/>
        </w:rPr>
        <w:t xml:space="preserve"> for 2008–2012</w:t>
      </w:r>
      <w:r w:rsidR="007B11CF" w:rsidRPr="009D0F35">
        <w:rPr>
          <w:rFonts w:ascii="Calibri" w:hAnsi="Calibri" w:cs="Times New Roman"/>
          <w:sz w:val="22"/>
          <w:szCs w:val="22"/>
        </w:rPr>
        <w:t>, it</w:t>
      </w:r>
      <w:r>
        <w:rPr>
          <w:rFonts w:ascii="Calibri" w:hAnsi="Calibri" w:cs="Times New Roman"/>
          <w:sz w:val="22"/>
          <w:szCs w:val="22"/>
        </w:rPr>
        <w:t xml:space="preserve"> was not possible to enter the </w:t>
      </w:r>
      <w:r w:rsidR="00C728C3">
        <w:rPr>
          <w:rFonts w:ascii="Calibri" w:hAnsi="Calibri" w:cs="Times New Roman"/>
          <w:sz w:val="22"/>
          <w:szCs w:val="22"/>
        </w:rPr>
        <w:t>‘</w:t>
      </w:r>
      <w:r>
        <w:rPr>
          <w:rFonts w:ascii="Calibri" w:hAnsi="Calibri" w:cs="Times New Roman"/>
          <w:sz w:val="22"/>
          <w:szCs w:val="22"/>
        </w:rPr>
        <w:t>-</w:t>
      </w:r>
      <w:r w:rsidR="00C728C3">
        <w:rPr>
          <w:rFonts w:ascii="Calibri" w:hAnsi="Calibri" w:cs="Times New Roman"/>
          <w:sz w:val="22"/>
          <w:szCs w:val="22"/>
        </w:rPr>
        <w:t>’</w:t>
      </w:r>
      <w:r w:rsidR="007B11CF" w:rsidRPr="009D0F35">
        <w:rPr>
          <w:rFonts w:ascii="Calibri" w:hAnsi="Calibri" w:cs="Times New Roman"/>
          <w:sz w:val="22"/>
          <w:szCs w:val="22"/>
        </w:rPr>
        <w:t xml:space="preserve"> (or </w:t>
      </w:r>
      <w:r w:rsidR="00C728C3">
        <w:rPr>
          <w:rFonts w:ascii="Calibri" w:hAnsi="Calibri" w:cs="Times New Roman"/>
          <w:sz w:val="22"/>
          <w:szCs w:val="22"/>
        </w:rPr>
        <w:t>‘</w:t>
      </w:r>
      <w:r w:rsidR="007B11CF" w:rsidRPr="009D0F35">
        <w:rPr>
          <w:rFonts w:ascii="Calibri" w:hAnsi="Calibri" w:cs="Times New Roman"/>
          <w:sz w:val="22"/>
          <w:szCs w:val="22"/>
        </w:rPr>
        <w:t>+</w:t>
      </w:r>
      <w:r w:rsidR="00C728C3">
        <w:rPr>
          <w:rFonts w:ascii="Calibri" w:hAnsi="Calibri" w:cs="Times New Roman"/>
          <w:sz w:val="22"/>
          <w:szCs w:val="22"/>
        </w:rPr>
        <w:t>’</w:t>
      </w:r>
      <w:r w:rsidR="007B11CF" w:rsidRPr="009D0F35">
        <w:rPr>
          <w:rFonts w:ascii="Calibri" w:hAnsi="Calibri" w:cs="Times New Roman"/>
          <w:sz w:val="22"/>
          <w:szCs w:val="22"/>
        </w:rPr>
        <w:t xml:space="preserve">) sign in trend magnitude fields </w:t>
      </w:r>
      <w:r>
        <w:rPr>
          <w:rFonts w:ascii="Calibri" w:hAnsi="Calibri" w:cs="Times New Roman"/>
          <w:sz w:val="22"/>
          <w:szCs w:val="22"/>
        </w:rPr>
        <w:t xml:space="preserve">(e.g. Annex B, field 3.1.3) </w:t>
      </w:r>
      <w:r w:rsidR="007B11CF" w:rsidRPr="009D0F35">
        <w:rPr>
          <w:rFonts w:ascii="Calibri" w:hAnsi="Calibri" w:cs="Times New Roman"/>
          <w:sz w:val="22"/>
          <w:szCs w:val="22"/>
        </w:rPr>
        <w:t xml:space="preserve">in the </w:t>
      </w:r>
      <w:r>
        <w:rPr>
          <w:rFonts w:ascii="Calibri" w:hAnsi="Calibri" w:cs="Times New Roman"/>
          <w:sz w:val="22"/>
          <w:szCs w:val="22"/>
        </w:rPr>
        <w:t xml:space="preserve">Article 12 </w:t>
      </w:r>
      <w:r w:rsidR="007B11CF" w:rsidRPr="009D0F35">
        <w:rPr>
          <w:rFonts w:ascii="Calibri" w:hAnsi="Calibri" w:cs="Times New Roman"/>
          <w:sz w:val="22"/>
          <w:szCs w:val="22"/>
        </w:rPr>
        <w:t xml:space="preserve">reporting tool, so the direction of </w:t>
      </w:r>
      <w:r>
        <w:rPr>
          <w:rFonts w:ascii="Calibri" w:hAnsi="Calibri" w:cs="Times New Roman"/>
          <w:sz w:val="22"/>
          <w:szCs w:val="22"/>
        </w:rPr>
        <w:t xml:space="preserve">trend </w:t>
      </w:r>
      <w:r w:rsidR="007B11CF" w:rsidRPr="009D0F35">
        <w:rPr>
          <w:rFonts w:ascii="Calibri" w:hAnsi="Calibri" w:cs="Times New Roman"/>
          <w:sz w:val="22"/>
          <w:szCs w:val="22"/>
        </w:rPr>
        <w:t>magnitude</w:t>
      </w:r>
      <w:r>
        <w:rPr>
          <w:rFonts w:ascii="Calibri" w:hAnsi="Calibri" w:cs="Times New Roman"/>
          <w:sz w:val="22"/>
          <w:szCs w:val="22"/>
        </w:rPr>
        <w:t>s</w:t>
      </w:r>
      <w:r w:rsidR="007B11CF" w:rsidRPr="009D0F35">
        <w:rPr>
          <w:rFonts w:ascii="Calibri" w:hAnsi="Calibri" w:cs="Times New Roman"/>
          <w:sz w:val="22"/>
          <w:szCs w:val="22"/>
        </w:rPr>
        <w:t xml:space="preserve"> was inferred </w:t>
      </w:r>
      <w:r>
        <w:rPr>
          <w:rFonts w:ascii="Calibri" w:hAnsi="Calibri" w:cs="Times New Roman"/>
          <w:sz w:val="22"/>
          <w:szCs w:val="22"/>
        </w:rPr>
        <w:t xml:space="preserve">from </w:t>
      </w:r>
      <w:r w:rsidR="007B11CF" w:rsidRPr="009D0F35">
        <w:rPr>
          <w:rFonts w:ascii="Calibri" w:hAnsi="Calibri" w:cs="Times New Roman"/>
          <w:sz w:val="22"/>
          <w:szCs w:val="22"/>
        </w:rPr>
        <w:t xml:space="preserve">the </w:t>
      </w:r>
      <w:r>
        <w:rPr>
          <w:rFonts w:ascii="Calibri" w:hAnsi="Calibri" w:cs="Times New Roman"/>
          <w:sz w:val="22"/>
          <w:szCs w:val="22"/>
        </w:rPr>
        <w:t>entry</w:t>
      </w:r>
      <w:r w:rsidR="007B11CF" w:rsidRPr="009D0F35">
        <w:rPr>
          <w:rFonts w:ascii="Calibri" w:hAnsi="Calibri" w:cs="Times New Roman"/>
          <w:sz w:val="22"/>
          <w:szCs w:val="22"/>
        </w:rPr>
        <w:t xml:space="preserve"> in the </w:t>
      </w:r>
      <w:r w:rsidR="002D314B">
        <w:rPr>
          <w:rFonts w:ascii="Calibri" w:hAnsi="Calibri" w:cs="Times New Roman"/>
          <w:sz w:val="22"/>
          <w:szCs w:val="22"/>
        </w:rPr>
        <w:t xml:space="preserve">related </w:t>
      </w:r>
      <w:r w:rsidR="007B11CF" w:rsidRPr="009D0F35">
        <w:rPr>
          <w:rFonts w:ascii="Calibri" w:hAnsi="Calibri" w:cs="Times New Roman"/>
          <w:sz w:val="22"/>
          <w:szCs w:val="22"/>
        </w:rPr>
        <w:t xml:space="preserve">trend direction field </w:t>
      </w:r>
      <w:r>
        <w:rPr>
          <w:rFonts w:ascii="Calibri" w:hAnsi="Calibri" w:cs="Times New Roman"/>
          <w:sz w:val="22"/>
          <w:szCs w:val="22"/>
        </w:rPr>
        <w:t xml:space="preserve">(e.g. Annex B, field 3.1.2) </w:t>
      </w:r>
      <w:r w:rsidR="007B11CF" w:rsidRPr="009D0F35">
        <w:rPr>
          <w:rFonts w:ascii="Calibri" w:hAnsi="Calibri" w:cs="Times New Roman"/>
          <w:sz w:val="22"/>
          <w:szCs w:val="22"/>
        </w:rPr>
        <w:t xml:space="preserve">– </w:t>
      </w:r>
      <w:r w:rsidR="00232403">
        <w:rPr>
          <w:rFonts w:ascii="Calibri" w:hAnsi="Calibri" w:cs="Times New Roman"/>
          <w:sz w:val="22"/>
          <w:szCs w:val="22"/>
        </w:rPr>
        <w:t>for example,</w:t>
      </w:r>
      <w:r w:rsidR="007B11CF" w:rsidRPr="009D0F35">
        <w:rPr>
          <w:rFonts w:ascii="Calibri" w:hAnsi="Calibri" w:cs="Times New Roman"/>
          <w:sz w:val="22"/>
          <w:szCs w:val="22"/>
        </w:rPr>
        <w:t xml:space="preserve"> direc</w:t>
      </w:r>
      <w:r>
        <w:rPr>
          <w:rFonts w:ascii="Calibri" w:hAnsi="Calibri" w:cs="Times New Roman"/>
          <w:sz w:val="22"/>
          <w:szCs w:val="22"/>
        </w:rPr>
        <w:t xml:space="preserve">tion = </w:t>
      </w:r>
      <w:r w:rsidR="00C728C3">
        <w:rPr>
          <w:rFonts w:ascii="Calibri" w:hAnsi="Calibri" w:cs="Times New Roman"/>
          <w:sz w:val="22"/>
          <w:szCs w:val="22"/>
        </w:rPr>
        <w:t>‘</w:t>
      </w:r>
      <w:r>
        <w:rPr>
          <w:rFonts w:ascii="Calibri" w:hAnsi="Calibri" w:cs="Times New Roman"/>
          <w:sz w:val="22"/>
          <w:szCs w:val="22"/>
        </w:rPr>
        <w:t>decreasing</w:t>
      </w:r>
      <w:r w:rsidR="00C728C3">
        <w:rPr>
          <w:rFonts w:ascii="Calibri" w:hAnsi="Calibri" w:cs="Times New Roman"/>
          <w:sz w:val="22"/>
          <w:szCs w:val="22"/>
        </w:rPr>
        <w:t>’</w:t>
      </w:r>
      <w:r>
        <w:rPr>
          <w:rFonts w:ascii="Calibri" w:hAnsi="Calibri" w:cs="Times New Roman"/>
          <w:sz w:val="22"/>
          <w:szCs w:val="22"/>
        </w:rPr>
        <w:t xml:space="preserve">, minimum = </w:t>
      </w:r>
      <w:r w:rsidR="00C728C3">
        <w:rPr>
          <w:rFonts w:ascii="Calibri" w:hAnsi="Calibri" w:cs="Times New Roman"/>
          <w:sz w:val="22"/>
          <w:szCs w:val="22"/>
        </w:rPr>
        <w:t>‘</w:t>
      </w:r>
      <w:r>
        <w:rPr>
          <w:rFonts w:ascii="Calibri" w:hAnsi="Calibri" w:cs="Times New Roman"/>
          <w:sz w:val="22"/>
          <w:szCs w:val="22"/>
        </w:rPr>
        <w:t>10</w:t>
      </w:r>
      <w:r w:rsidR="00C728C3">
        <w:rPr>
          <w:rFonts w:ascii="Calibri" w:hAnsi="Calibri" w:cs="Times New Roman"/>
          <w:sz w:val="22"/>
          <w:szCs w:val="22"/>
        </w:rPr>
        <w:t>’</w:t>
      </w:r>
      <w:r>
        <w:rPr>
          <w:rFonts w:ascii="Calibri" w:hAnsi="Calibri" w:cs="Times New Roman"/>
          <w:sz w:val="22"/>
          <w:szCs w:val="22"/>
        </w:rPr>
        <w:t xml:space="preserve"> and maximum = </w:t>
      </w:r>
      <w:r w:rsidR="00C728C3">
        <w:rPr>
          <w:rFonts w:ascii="Calibri" w:hAnsi="Calibri" w:cs="Times New Roman"/>
          <w:sz w:val="22"/>
          <w:szCs w:val="22"/>
        </w:rPr>
        <w:t>‘</w:t>
      </w:r>
      <w:r>
        <w:rPr>
          <w:rFonts w:ascii="Calibri" w:hAnsi="Calibri" w:cs="Times New Roman"/>
          <w:sz w:val="22"/>
          <w:szCs w:val="22"/>
        </w:rPr>
        <w:t>20</w:t>
      </w:r>
      <w:r w:rsidR="00C728C3">
        <w:rPr>
          <w:rFonts w:ascii="Calibri" w:hAnsi="Calibri" w:cs="Times New Roman"/>
          <w:sz w:val="22"/>
          <w:szCs w:val="22"/>
        </w:rPr>
        <w:t>’</w:t>
      </w:r>
      <w:r w:rsidR="007B11CF" w:rsidRPr="009D0F35">
        <w:rPr>
          <w:rFonts w:ascii="Calibri" w:hAnsi="Calibri" w:cs="Times New Roman"/>
          <w:sz w:val="22"/>
          <w:szCs w:val="22"/>
        </w:rPr>
        <w:t xml:space="preserve"> represented a decline of </w:t>
      </w:r>
      <w:r>
        <w:rPr>
          <w:rFonts w:ascii="Calibri" w:hAnsi="Calibri" w:cs="Times New Roman"/>
          <w:sz w:val="22"/>
          <w:szCs w:val="22"/>
        </w:rPr>
        <w:t xml:space="preserve">between </w:t>
      </w:r>
      <w:r w:rsidR="007B11CF" w:rsidRPr="009D0F35">
        <w:rPr>
          <w:rFonts w:ascii="Calibri" w:hAnsi="Calibri" w:cs="Times New Roman"/>
          <w:sz w:val="22"/>
          <w:szCs w:val="22"/>
        </w:rPr>
        <w:t xml:space="preserve">-10% </w:t>
      </w:r>
      <w:r>
        <w:rPr>
          <w:rFonts w:ascii="Calibri" w:hAnsi="Calibri" w:cs="Times New Roman"/>
          <w:sz w:val="22"/>
          <w:szCs w:val="22"/>
        </w:rPr>
        <w:t>and</w:t>
      </w:r>
      <w:r w:rsidR="007B11CF" w:rsidRPr="009D0F35">
        <w:rPr>
          <w:rFonts w:ascii="Calibri" w:hAnsi="Calibri" w:cs="Times New Roman"/>
          <w:sz w:val="22"/>
          <w:szCs w:val="22"/>
        </w:rPr>
        <w:t xml:space="preserve"> -20%. This worked </w:t>
      </w:r>
      <w:r>
        <w:rPr>
          <w:rFonts w:ascii="Calibri" w:hAnsi="Calibri" w:cs="Times New Roman"/>
          <w:sz w:val="22"/>
          <w:szCs w:val="22"/>
        </w:rPr>
        <w:t>satisfactorily for unidirectional</w:t>
      </w:r>
      <w:r w:rsidR="007B11CF" w:rsidRPr="009D0F35">
        <w:rPr>
          <w:rFonts w:ascii="Calibri" w:hAnsi="Calibri" w:cs="Times New Roman"/>
          <w:sz w:val="22"/>
          <w:szCs w:val="22"/>
        </w:rPr>
        <w:t xml:space="preserve"> trends (i.e. </w:t>
      </w:r>
      <w:r w:rsidR="00C728C3">
        <w:rPr>
          <w:rFonts w:ascii="Calibri" w:hAnsi="Calibri" w:cs="Times New Roman"/>
          <w:sz w:val="22"/>
          <w:szCs w:val="22"/>
        </w:rPr>
        <w:t>‘</w:t>
      </w:r>
      <w:r w:rsidR="007B11CF" w:rsidRPr="009D0F35">
        <w:rPr>
          <w:rFonts w:ascii="Calibri" w:hAnsi="Calibri" w:cs="Times New Roman"/>
          <w:sz w:val="22"/>
          <w:szCs w:val="22"/>
        </w:rPr>
        <w:t>decreasing</w:t>
      </w:r>
      <w:r w:rsidR="00C728C3">
        <w:rPr>
          <w:rFonts w:ascii="Calibri" w:hAnsi="Calibri" w:cs="Times New Roman"/>
          <w:sz w:val="22"/>
          <w:szCs w:val="22"/>
        </w:rPr>
        <w:t>’</w:t>
      </w:r>
      <w:r w:rsidR="007B11CF" w:rsidRPr="009D0F35">
        <w:rPr>
          <w:rFonts w:ascii="Calibri" w:hAnsi="Calibri" w:cs="Times New Roman"/>
          <w:sz w:val="22"/>
          <w:szCs w:val="22"/>
        </w:rPr>
        <w:t xml:space="preserve"> and </w:t>
      </w:r>
      <w:r w:rsidR="00C728C3">
        <w:rPr>
          <w:rFonts w:ascii="Calibri" w:hAnsi="Calibri" w:cs="Times New Roman"/>
          <w:sz w:val="22"/>
          <w:szCs w:val="22"/>
        </w:rPr>
        <w:t>‘</w:t>
      </w:r>
      <w:r w:rsidR="007B11CF" w:rsidRPr="009D0F35">
        <w:rPr>
          <w:rFonts w:ascii="Calibri" w:hAnsi="Calibri" w:cs="Times New Roman"/>
          <w:sz w:val="22"/>
          <w:szCs w:val="22"/>
        </w:rPr>
        <w:t>increasing</w:t>
      </w:r>
      <w:r w:rsidR="00C728C3">
        <w:rPr>
          <w:rFonts w:ascii="Calibri" w:hAnsi="Calibri" w:cs="Times New Roman"/>
          <w:sz w:val="22"/>
          <w:szCs w:val="22"/>
        </w:rPr>
        <w:t>’</w:t>
      </w:r>
      <w:r w:rsidR="00232403">
        <w:rPr>
          <w:rFonts w:ascii="Calibri" w:hAnsi="Calibri" w:cs="Times New Roman"/>
          <w:sz w:val="22"/>
          <w:szCs w:val="22"/>
        </w:rPr>
        <w:t>;</w:t>
      </w:r>
      <w:r w:rsidR="00AE3F2B">
        <w:rPr>
          <w:rFonts w:ascii="Calibri" w:hAnsi="Calibri" w:cs="Times New Roman"/>
          <w:sz w:val="22"/>
          <w:szCs w:val="22"/>
        </w:rPr>
        <w:t xml:space="preserve"> </w:t>
      </w:r>
      <w:r w:rsidR="007B11CF" w:rsidRPr="009D0F35">
        <w:rPr>
          <w:rFonts w:ascii="Calibri" w:hAnsi="Calibri" w:cs="Times New Roman"/>
          <w:sz w:val="22"/>
          <w:szCs w:val="22"/>
        </w:rPr>
        <w:t xml:space="preserve">the two categories for which trend magnitudes were explicitly requested in the </w:t>
      </w:r>
      <w:r>
        <w:rPr>
          <w:rFonts w:ascii="Calibri" w:hAnsi="Calibri" w:cs="Times New Roman"/>
          <w:sz w:val="22"/>
          <w:szCs w:val="22"/>
        </w:rPr>
        <w:t xml:space="preserve">2008–2012 </w:t>
      </w:r>
      <w:r w:rsidR="007B11CF" w:rsidRPr="009D0F35">
        <w:rPr>
          <w:rFonts w:ascii="Calibri" w:hAnsi="Calibri" w:cs="Times New Roman"/>
          <w:sz w:val="22"/>
          <w:szCs w:val="22"/>
        </w:rPr>
        <w:t>guidelines), but didn't allow easy reporting of trend</w:t>
      </w:r>
      <w:r w:rsidR="00232403">
        <w:rPr>
          <w:rFonts w:ascii="Calibri" w:hAnsi="Calibri" w:cs="Times New Roman"/>
          <w:sz w:val="22"/>
          <w:szCs w:val="22"/>
        </w:rPr>
        <w:t xml:space="preserve"> magnitude</w:t>
      </w:r>
      <w:r w:rsidR="00C728C3">
        <w:rPr>
          <w:rFonts w:ascii="Calibri" w:hAnsi="Calibri" w:cs="Times New Roman"/>
          <w:sz w:val="22"/>
          <w:szCs w:val="22"/>
        </w:rPr>
        <w:t>s</w:t>
      </w:r>
      <w:r w:rsidR="007B11CF" w:rsidRPr="009D0F35">
        <w:rPr>
          <w:rFonts w:ascii="Calibri" w:hAnsi="Calibri" w:cs="Times New Roman"/>
          <w:sz w:val="22"/>
          <w:szCs w:val="22"/>
        </w:rPr>
        <w:t xml:space="preserve"> </w:t>
      </w:r>
      <w:r w:rsidR="00232403">
        <w:rPr>
          <w:rFonts w:ascii="Calibri" w:hAnsi="Calibri" w:cs="Times New Roman"/>
          <w:sz w:val="22"/>
          <w:szCs w:val="22"/>
        </w:rPr>
        <w:t>spanning</w:t>
      </w:r>
      <w:r w:rsidR="00C728C3">
        <w:rPr>
          <w:rFonts w:ascii="Calibri" w:hAnsi="Calibri" w:cs="Times New Roman"/>
          <w:sz w:val="22"/>
          <w:szCs w:val="22"/>
        </w:rPr>
        <w:t xml:space="preserve"> zero, such as:</w:t>
      </w:r>
      <w:r w:rsidR="007B11CF" w:rsidRPr="009D0F35">
        <w:rPr>
          <w:rFonts w:ascii="Calibri" w:hAnsi="Calibri" w:cs="Times New Roman"/>
          <w:sz w:val="22"/>
          <w:szCs w:val="22"/>
        </w:rPr>
        <w:t xml:space="preserve"> </w:t>
      </w:r>
      <w:r w:rsidR="00C728C3">
        <w:rPr>
          <w:rFonts w:ascii="Calibri" w:hAnsi="Calibri" w:cs="Times New Roman"/>
          <w:sz w:val="22"/>
          <w:szCs w:val="22"/>
        </w:rPr>
        <w:t>‘stable’</w:t>
      </w:r>
      <w:r w:rsidR="007B11CF" w:rsidRPr="009D0F35">
        <w:rPr>
          <w:rFonts w:ascii="Calibri" w:hAnsi="Calibri" w:cs="Times New Roman"/>
          <w:sz w:val="22"/>
          <w:szCs w:val="22"/>
        </w:rPr>
        <w:t xml:space="preserve"> trends where quantitative trend data were available, but didn't differ significantly from zero; </w:t>
      </w:r>
      <w:r w:rsidR="008C317D">
        <w:rPr>
          <w:rFonts w:ascii="Calibri" w:hAnsi="Calibri" w:cs="Times New Roman"/>
          <w:sz w:val="22"/>
          <w:szCs w:val="22"/>
        </w:rPr>
        <w:t>‘</w:t>
      </w:r>
      <w:r w:rsidR="007B11CF" w:rsidRPr="009D0F35">
        <w:rPr>
          <w:rFonts w:ascii="Calibri" w:hAnsi="Calibri" w:cs="Times New Roman"/>
          <w:sz w:val="22"/>
          <w:szCs w:val="22"/>
        </w:rPr>
        <w:t>stable</w:t>
      </w:r>
      <w:r w:rsidR="008C317D">
        <w:rPr>
          <w:rFonts w:ascii="Calibri" w:hAnsi="Calibri" w:cs="Times New Roman"/>
          <w:sz w:val="22"/>
          <w:szCs w:val="22"/>
        </w:rPr>
        <w:t>’</w:t>
      </w:r>
      <w:r w:rsidR="007B11CF" w:rsidRPr="009D0F35">
        <w:rPr>
          <w:rFonts w:ascii="Calibri" w:hAnsi="Calibri" w:cs="Times New Roman"/>
          <w:sz w:val="22"/>
          <w:szCs w:val="22"/>
        </w:rPr>
        <w:t xml:space="preserve"> tren</w:t>
      </w:r>
      <w:r w:rsidR="00AE3F2B">
        <w:rPr>
          <w:rFonts w:ascii="Calibri" w:hAnsi="Calibri" w:cs="Times New Roman"/>
          <w:sz w:val="22"/>
          <w:szCs w:val="22"/>
        </w:rPr>
        <w:t>ds where a threshold had been used to dis</w:t>
      </w:r>
      <w:r w:rsidR="00277C5D">
        <w:rPr>
          <w:rFonts w:ascii="Calibri" w:hAnsi="Calibri" w:cs="Times New Roman"/>
          <w:sz w:val="22"/>
          <w:szCs w:val="22"/>
        </w:rPr>
        <w:t xml:space="preserve">tinguish them from ‘increasing’ or </w:t>
      </w:r>
      <w:r w:rsidR="00AE3F2B">
        <w:rPr>
          <w:rFonts w:ascii="Calibri" w:hAnsi="Calibri" w:cs="Times New Roman"/>
          <w:sz w:val="22"/>
          <w:szCs w:val="22"/>
        </w:rPr>
        <w:t xml:space="preserve">‘decreasing’ trends </w:t>
      </w:r>
      <w:r w:rsidR="007B11CF" w:rsidRPr="009D0F35">
        <w:rPr>
          <w:rFonts w:ascii="Calibri" w:hAnsi="Calibri" w:cs="Times New Roman"/>
          <w:sz w:val="22"/>
          <w:szCs w:val="22"/>
        </w:rPr>
        <w:t xml:space="preserve">(e.g. </w:t>
      </w:r>
      <w:r w:rsidR="005677DB">
        <w:rPr>
          <w:rFonts w:ascii="Calibri" w:hAnsi="Calibri" w:cs="Times New Roman"/>
          <w:sz w:val="22"/>
          <w:szCs w:val="22"/>
        </w:rPr>
        <w:t xml:space="preserve">short-term </w:t>
      </w:r>
      <w:r w:rsidR="00AE3F2B">
        <w:rPr>
          <w:rFonts w:ascii="Calibri" w:hAnsi="Calibri" w:cs="Times New Roman"/>
          <w:sz w:val="22"/>
          <w:szCs w:val="22"/>
        </w:rPr>
        <w:t xml:space="preserve">trend </w:t>
      </w:r>
      <w:r w:rsidR="00277C5D">
        <w:rPr>
          <w:rFonts w:ascii="Calibri" w:hAnsi="Calibri" w:cs="Times New Roman"/>
          <w:sz w:val="22"/>
          <w:szCs w:val="22"/>
        </w:rPr>
        <w:t xml:space="preserve">probably </w:t>
      </w:r>
      <w:r w:rsidR="00AE3F2B">
        <w:rPr>
          <w:rFonts w:ascii="Calibri" w:hAnsi="Calibri" w:cs="Times New Roman"/>
          <w:sz w:val="22"/>
          <w:szCs w:val="22"/>
        </w:rPr>
        <w:t xml:space="preserve">between -10% and +10% </w:t>
      </w:r>
      <w:r w:rsidR="00AE3F2B">
        <w:rPr>
          <w:rFonts w:ascii="Calibri" w:hAnsi="Calibri" w:cs="Times New Roman"/>
          <w:sz w:val="22"/>
          <w:szCs w:val="22"/>
        </w:rPr>
        <w:sym w:font="Symbol" w:char="F0DE"/>
      </w:r>
      <w:r w:rsidR="00AE3F2B">
        <w:rPr>
          <w:rFonts w:ascii="Calibri" w:hAnsi="Calibri" w:cs="Times New Roman"/>
          <w:sz w:val="22"/>
          <w:szCs w:val="22"/>
        </w:rPr>
        <w:t xml:space="preserve"> ‘stable’</w:t>
      </w:r>
      <w:r w:rsidR="007B11CF" w:rsidRPr="009D0F35">
        <w:rPr>
          <w:rFonts w:ascii="Calibri" w:hAnsi="Calibri" w:cs="Times New Roman"/>
          <w:sz w:val="22"/>
          <w:szCs w:val="22"/>
        </w:rPr>
        <w:t xml:space="preserve">), </w:t>
      </w:r>
      <w:r w:rsidR="00AE3F2B">
        <w:rPr>
          <w:rFonts w:ascii="Calibri" w:hAnsi="Calibri" w:cs="Times New Roman"/>
          <w:sz w:val="22"/>
          <w:szCs w:val="22"/>
        </w:rPr>
        <w:t>and</w:t>
      </w:r>
      <w:r w:rsidR="007B11CF" w:rsidRPr="009D0F35">
        <w:rPr>
          <w:rFonts w:ascii="Calibri" w:hAnsi="Calibri" w:cs="Times New Roman"/>
          <w:sz w:val="22"/>
          <w:szCs w:val="22"/>
        </w:rPr>
        <w:t xml:space="preserve">; </w:t>
      </w:r>
      <w:r w:rsidR="00AE3F2B">
        <w:rPr>
          <w:rFonts w:ascii="Calibri" w:hAnsi="Calibri" w:cs="Times New Roman"/>
          <w:sz w:val="22"/>
          <w:szCs w:val="22"/>
        </w:rPr>
        <w:t>‘</w:t>
      </w:r>
      <w:r w:rsidR="007B11CF" w:rsidRPr="009D0F35">
        <w:rPr>
          <w:rFonts w:ascii="Calibri" w:hAnsi="Calibri" w:cs="Times New Roman"/>
          <w:sz w:val="22"/>
          <w:szCs w:val="22"/>
        </w:rPr>
        <w:t>fluctuating</w:t>
      </w:r>
      <w:r w:rsidR="00AE3F2B">
        <w:rPr>
          <w:rFonts w:ascii="Calibri" w:hAnsi="Calibri" w:cs="Times New Roman"/>
          <w:sz w:val="22"/>
          <w:szCs w:val="22"/>
        </w:rPr>
        <w:t>’</w:t>
      </w:r>
      <w:r w:rsidR="007B11CF" w:rsidRPr="009D0F35">
        <w:rPr>
          <w:rFonts w:ascii="Calibri" w:hAnsi="Calibri" w:cs="Times New Roman"/>
          <w:sz w:val="22"/>
          <w:szCs w:val="22"/>
        </w:rPr>
        <w:t xml:space="preserve"> trends. </w:t>
      </w:r>
    </w:p>
    <w:p w:rsidR="007B11CF" w:rsidRPr="009D0F35" w:rsidRDefault="007B11CF" w:rsidP="003256A4">
      <w:pPr>
        <w:spacing w:before="60" w:after="60"/>
        <w:rPr>
          <w:rFonts w:ascii="Calibri" w:hAnsi="Calibri" w:cs="Times New Roman"/>
          <w:sz w:val="22"/>
          <w:szCs w:val="22"/>
        </w:rPr>
      </w:pPr>
      <w:r w:rsidRPr="009D0F35">
        <w:rPr>
          <w:rFonts w:ascii="Calibri" w:hAnsi="Calibri" w:cs="Times New Roman"/>
          <w:sz w:val="22"/>
          <w:szCs w:val="22"/>
        </w:rPr>
        <w:t xml:space="preserve">The </w:t>
      </w:r>
      <w:r w:rsidR="00476E29">
        <w:rPr>
          <w:rFonts w:ascii="Calibri" w:hAnsi="Calibri" w:cs="Times New Roman"/>
          <w:sz w:val="22"/>
          <w:szCs w:val="22"/>
        </w:rPr>
        <w:t xml:space="preserve">updated </w:t>
      </w:r>
      <w:r w:rsidRPr="009D0F35">
        <w:rPr>
          <w:rFonts w:ascii="Calibri" w:hAnsi="Calibri" w:cs="Times New Roman"/>
          <w:sz w:val="22"/>
          <w:szCs w:val="22"/>
        </w:rPr>
        <w:t xml:space="preserve">Art. 12 </w:t>
      </w:r>
      <w:r w:rsidR="00974F6B" w:rsidRPr="00974F6B">
        <w:rPr>
          <w:rFonts w:ascii="Calibri" w:hAnsi="Calibri" w:cs="Times New Roman"/>
          <w:i/>
          <w:sz w:val="22"/>
          <w:szCs w:val="22"/>
        </w:rPr>
        <w:t>Explanatory Notes and Guidelines for the period 2013–2018</w:t>
      </w:r>
      <w:r w:rsidR="00974F6B">
        <w:rPr>
          <w:rFonts w:ascii="Calibri" w:hAnsi="Calibri" w:cs="Times New Roman"/>
          <w:sz w:val="22"/>
          <w:szCs w:val="22"/>
        </w:rPr>
        <w:t xml:space="preserve"> (hereafter ‘guidelines’) </w:t>
      </w:r>
      <w:r w:rsidR="00A7108F">
        <w:rPr>
          <w:rFonts w:ascii="Calibri" w:hAnsi="Calibri" w:cs="Times New Roman"/>
          <w:sz w:val="22"/>
          <w:szCs w:val="22"/>
        </w:rPr>
        <w:t>indicate</w:t>
      </w:r>
      <w:r w:rsidR="00476E29">
        <w:rPr>
          <w:rFonts w:ascii="Calibri" w:hAnsi="Calibri" w:cs="Times New Roman"/>
          <w:sz w:val="22"/>
          <w:szCs w:val="22"/>
        </w:rPr>
        <w:t xml:space="preserve"> that trend magnitudes should</w:t>
      </w:r>
      <w:r w:rsidR="00277C5D">
        <w:rPr>
          <w:rFonts w:ascii="Calibri" w:hAnsi="Calibri" w:cs="Times New Roman"/>
          <w:sz w:val="22"/>
          <w:szCs w:val="22"/>
        </w:rPr>
        <w:t xml:space="preserve"> now</w:t>
      </w:r>
      <w:r w:rsidR="00476E29">
        <w:rPr>
          <w:rFonts w:ascii="Calibri" w:hAnsi="Calibri" w:cs="Times New Roman"/>
          <w:sz w:val="22"/>
          <w:szCs w:val="22"/>
        </w:rPr>
        <w:t xml:space="preserve"> be provided </w:t>
      </w:r>
      <w:r w:rsidRPr="009D0F35">
        <w:rPr>
          <w:rFonts w:ascii="Calibri" w:hAnsi="Calibri" w:cs="Times New Roman"/>
          <w:sz w:val="22"/>
          <w:szCs w:val="22"/>
        </w:rPr>
        <w:t xml:space="preserve">for trends reported as </w:t>
      </w:r>
      <w:r w:rsidR="00476E29">
        <w:rPr>
          <w:rFonts w:ascii="Calibri" w:hAnsi="Calibri" w:cs="Times New Roman"/>
          <w:sz w:val="22"/>
          <w:szCs w:val="22"/>
        </w:rPr>
        <w:t>‘increasing’</w:t>
      </w:r>
      <w:r w:rsidRPr="009D0F35">
        <w:rPr>
          <w:rFonts w:ascii="Calibri" w:hAnsi="Calibri" w:cs="Times New Roman"/>
          <w:sz w:val="22"/>
          <w:szCs w:val="22"/>
        </w:rPr>
        <w:t xml:space="preserve">, </w:t>
      </w:r>
      <w:r w:rsidR="00476E29">
        <w:rPr>
          <w:rFonts w:ascii="Calibri" w:hAnsi="Calibri" w:cs="Times New Roman"/>
          <w:sz w:val="22"/>
          <w:szCs w:val="22"/>
        </w:rPr>
        <w:t>‘decreasing’</w:t>
      </w:r>
      <w:r w:rsidRPr="009D0F35">
        <w:rPr>
          <w:rFonts w:ascii="Calibri" w:hAnsi="Calibri" w:cs="Times New Roman"/>
          <w:sz w:val="22"/>
          <w:szCs w:val="22"/>
        </w:rPr>
        <w:t xml:space="preserve"> </w:t>
      </w:r>
      <w:r w:rsidR="00476E29">
        <w:rPr>
          <w:rFonts w:ascii="Calibri" w:hAnsi="Calibri" w:cs="Times New Roman"/>
          <w:sz w:val="22"/>
          <w:szCs w:val="22"/>
        </w:rPr>
        <w:t>or ‘uncertain’</w:t>
      </w:r>
      <w:r w:rsidRPr="009D0F35">
        <w:rPr>
          <w:rFonts w:ascii="Calibri" w:hAnsi="Calibri" w:cs="Times New Roman"/>
          <w:sz w:val="22"/>
          <w:szCs w:val="22"/>
        </w:rPr>
        <w:t xml:space="preserve">, </w:t>
      </w:r>
      <w:r w:rsidR="00476E29">
        <w:rPr>
          <w:rFonts w:ascii="Calibri" w:hAnsi="Calibri" w:cs="Times New Roman"/>
          <w:sz w:val="22"/>
          <w:szCs w:val="22"/>
        </w:rPr>
        <w:t xml:space="preserve">with </w:t>
      </w:r>
      <w:r w:rsidR="00277C5D">
        <w:rPr>
          <w:rFonts w:ascii="Calibri" w:hAnsi="Calibri" w:cs="Times New Roman"/>
          <w:sz w:val="22"/>
          <w:szCs w:val="22"/>
        </w:rPr>
        <w:t>reporting of magnitudes (where</w:t>
      </w:r>
      <w:r w:rsidRPr="009D0F35">
        <w:rPr>
          <w:rFonts w:ascii="Calibri" w:hAnsi="Calibri" w:cs="Times New Roman"/>
          <w:sz w:val="22"/>
          <w:szCs w:val="22"/>
        </w:rPr>
        <w:t xml:space="preserve"> available) also encouraged for </w:t>
      </w:r>
      <w:r w:rsidR="00476E29">
        <w:rPr>
          <w:rFonts w:ascii="Calibri" w:hAnsi="Calibri" w:cs="Times New Roman"/>
          <w:sz w:val="22"/>
          <w:szCs w:val="22"/>
        </w:rPr>
        <w:t>‘stable’</w:t>
      </w:r>
      <w:r w:rsidRPr="009D0F35">
        <w:rPr>
          <w:rFonts w:ascii="Calibri" w:hAnsi="Calibri" w:cs="Times New Roman"/>
          <w:sz w:val="22"/>
          <w:szCs w:val="22"/>
        </w:rPr>
        <w:t xml:space="preserve"> and </w:t>
      </w:r>
      <w:r w:rsidR="00476E29">
        <w:rPr>
          <w:rFonts w:ascii="Calibri" w:hAnsi="Calibri" w:cs="Times New Roman"/>
          <w:sz w:val="22"/>
          <w:szCs w:val="22"/>
        </w:rPr>
        <w:t>‘fluctuating’</w:t>
      </w:r>
      <w:r w:rsidRPr="009D0F35">
        <w:rPr>
          <w:rFonts w:ascii="Calibri" w:hAnsi="Calibri" w:cs="Times New Roman"/>
          <w:sz w:val="22"/>
          <w:szCs w:val="22"/>
        </w:rPr>
        <w:t xml:space="preserve"> trends (see section 3.1.3 on pp.27–28 of the </w:t>
      </w:r>
      <w:r w:rsidR="00476E29">
        <w:rPr>
          <w:rFonts w:ascii="Calibri" w:hAnsi="Calibri" w:cs="Times New Roman"/>
          <w:sz w:val="22"/>
          <w:szCs w:val="22"/>
        </w:rPr>
        <w:t>g</w:t>
      </w:r>
      <w:r w:rsidRPr="009D0F35">
        <w:rPr>
          <w:rFonts w:ascii="Calibri" w:hAnsi="Calibri" w:cs="Times New Roman"/>
          <w:sz w:val="22"/>
          <w:szCs w:val="22"/>
        </w:rPr>
        <w:t>uidelines).</w:t>
      </w:r>
    </w:p>
    <w:p w:rsidR="007B11CF" w:rsidRPr="009D0F35" w:rsidRDefault="007B11CF" w:rsidP="005677DB">
      <w:pPr>
        <w:spacing w:before="120" w:after="60"/>
        <w:rPr>
          <w:rFonts w:ascii="Calibri" w:hAnsi="Calibri" w:cs="Times New Roman"/>
          <w:b/>
          <w:sz w:val="22"/>
          <w:szCs w:val="22"/>
        </w:rPr>
      </w:pPr>
      <w:r w:rsidRPr="009D0F35">
        <w:rPr>
          <w:rFonts w:ascii="Calibri" w:hAnsi="Calibri" w:cs="Times New Roman"/>
          <w:b/>
          <w:sz w:val="22"/>
          <w:szCs w:val="22"/>
        </w:rPr>
        <w:t xml:space="preserve">This note provides additional </w:t>
      </w:r>
      <w:r w:rsidR="003326AD" w:rsidRPr="009D0F35">
        <w:rPr>
          <w:rFonts w:ascii="Calibri" w:hAnsi="Calibri" w:cs="Times New Roman"/>
          <w:b/>
          <w:sz w:val="22"/>
          <w:szCs w:val="22"/>
        </w:rPr>
        <w:t xml:space="preserve">technical </w:t>
      </w:r>
      <w:r w:rsidRPr="009D0F35">
        <w:rPr>
          <w:rFonts w:ascii="Calibri" w:hAnsi="Calibri" w:cs="Times New Roman"/>
          <w:b/>
          <w:sz w:val="22"/>
          <w:szCs w:val="22"/>
        </w:rPr>
        <w:t xml:space="preserve">guidance </w:t>
      </w:r>
      <w:r w:rsidR="00277C5D">
        <w:rPr>
          <w:rFonts w:ascii="Calibri" w:hAnsi="Calibri" w:cs="Times New Roman"/>
          <w:b/>
          <w:sz w:val="22"/>
          <w:szCs w:val="22"/>
        </w:rPr>
        <w:t>on</w:t>
      </w:r>
      <w:r w:rsidRPr="009D0F35">
        <w:rPr>
          <w:rFonts w:ascii="Calibri" w:hAnsi="Calibri" w:cs="Times New Roman"/>
          <w:b/>
          <w:sz w:val="22"/>
          <w:szCs w:val="22"/>
        </w:rPr>
        <w:t xml:space="preserve"> </w:t>
      </w:r>
      <w:r w:rsidR="00476E29">
        <w:rPr>
          <w:rFonts w:ascii="Calibri" w:hAnsi="Calibri" w:cs="Times New Roman"/>
          <w:b/>
          <w:sz w:val="22"/>
          <w:szCs w:val="22"/>
        </w:rPr>
        <w:t xml:space="preserve">the </w:t>
      </w:r>
      <w:r w:rsidRPr="009D0F35">
        <w:rPr>
          <w:rFonts w:ascii="Calibri" w:hAnsi="Calibri" w:cs="Times New Roman"/>
          <w:b/>
          <w:sz w:val="22"/>
          <w:szCs w:val="22"/>
        </w:rPr>
        <w:t xml:space="preserve">reporting </w:t>
      </w:r>
      <w:r w:rsidR="00476E29">
        <w:rPr>
          <w:rFonts w:ascii="Calibri" w:hAnsi="Calibri" w:cs="Times New Roman"/>
          <w:b/>
          <w:sz w:val="22"/>
          <w:szCs w:val="22"/>
        </w:rPr>
        <w:t xml:space="preserve">of trend </w:t>
      </w:r>
      <w:r w:rsidRPr="009D0F35">
        <w:rPr>
          <w:rFonts w:ascii="Calibri" w:hAnsi="Calibri" w:cs="Times New Roman"/>
          <w:b/>
          <w:sz w:val="22"/>
          <w:szCs w:val="22"/>
        </w:rPr>
        <w:t>magnitudes for different categories of short- and long-term trend</w:t>
      </w:r>
      <w:r w:rsidR="00476E29">
        <w:rPr>
          <w:rFonts w:ascii="Calibri" w:hAnsi="Calibri" w:cs="Times New Roman"/>
          <w:b/>
          <w:sz w:val="22"/>
          <w:szCs w:val="22"/>
        </w:rPr>
        <w:t>,</w:t>
      </w:r>
      <w:r w:rsidRPr="009D0F35">
        <w:rPr>
          <w:rFonts w:ascii="Calibri" w:hAnsi="Calibri" w:cs="Times New Roman"/>
          <w:b/>
          <w:sz w:val="22"/>
          <w:szCs w:val="22"/>
        </w:rPr>
        <w:t xml:space="preserve"> </w:t>
      </w:r>
      <w:r w:rsidR="00476E29">
        <w:rPr>
          <w:rFonts w:ascii="Calibri" w:hAnsi="Calibri" w:cs="Times New Roman"/>
          <w:b/>
          <w:sz w:val="22"/>
          <w:szCs w:val="22"/>
        </w:rPr>
        <w:t>particularly</w:t>
      </w:r>
      <w:r w:rsidR="002D314B">
        <w:rPr>
          <w:rFonts w:ascii="Calibri" w:hAnsi="Calibri" w:cs="Times New Roman"/>
          <w:b/>
          <w:sz w:val="22"/>
          <w:szCs w:val="22"/>
        </w:rPr>
        <w:t xml:space="preserve"> on</w:t>
      </w:r>
      <w:r w:rsidR="00476E29">
        <w:rPr>
          <w:rFonts w:ascii="Calibri" w:hAnsi="Calibri" w:cs="Times New Roman"/>
          <w:b/>
          <w:sz w:val="22"/>
          <w:szCs w:val="22"/>
        </w:rPr>
        <w:t xml:space="preserve"> practical </w:t>
      </w:r>
      <w:r w:rsidRPr="009D0F35">
        <w:rPr>
          <w:rFonts w:ascii="Calibri" w:hAnsi="Calibri" w:cs="Times New Roman"/>
          <w:b/>
          <w:sz w:val="22"/>
          <w:szCs w:val="22"/>
        </w:rPr>
        <w:t xml:space="preserve">implementation </w:t>
      </w:r>
      <w:r w:rsidR="003326AD" w:rsidRPr="009D0F35">
        <w:rPr>
          <w:rFonts w:ascii="Calibri" w:hAnsi="Calibri" w:cs="Times New Roman"/>
          <w:b/>
          <w:sz w:val="22"/>
          <w:szCs w:val="22"/>
        </w:rPr>
        <w:t>of</w:t>
      </w:r>
      <w:r w:rsidRPr="009D0F35">
        <w:rPr>
          <w:rFonts w:ascii="Calibri" w:hAnsi="Calibri" w:cs="Times New Roman"/>
          <w:b/>
          <w:sz w:val="22"/>
          <w:szCs w:val="22"/>
        </w:rPr>
        <w:t xml:space="preserve"> the guidance provided </w:t>
      </w:r>
      <w:r w:rsidR="003326AD" w:rsidRPr="009D0F35">
        <w:rPr>
          <w:rFonts w:ascii="Calibri" w:hAnsi="Calibri" w:cs="Times New Roman"/>
          <w:b/>
          <w:sz w:val="22"/>
          <w:szCs w:val="22"/>
        </w:rPr>
        <w:t xml:space="preserve">in the </w:t>
      </w:r>
      <w:r w:rsidR="00476E29">
        <w:rPr>
          <w:rFonts w:ascii="Calibri" w:hAnsi="Calibri" w:cs="Times New Roman"/>
          <w:b/>
          <w:sz w:val="22"/>
          <w:szCs w:val="22"/>
        </w:rPr>
        <w:t>May 2017 version of the g</w:t>
      </w:r>
      <w:r w:rsidR="003326AD" w:rsidRPr="009D0F35">
        <w:rPr>
          <w:rFonts w:ascii="Calibri" w:hAnsi="Calibri" w:cs="Times New Roman"/>
          <w:b/>
          <w:sz w:val="22"/>
          <w:szCs w:val="22"/>
        </w:rPr>
        <w:t>uidelines.</w:t>
      </w:r>
    </w:p>
    <w:p w:rsidR="00880875" w:rsidRPr="00476E29" w:rsidRDefault="00880875" w:rsidP="003256A4">
      <w:pPr>
        <w:spacing w:before="180" w:after="60"/>
        <w:rPr>
          <w:rFonts w:ascii="Calibri" w:hAnsi="Calibri" w:cs="Times New Roman"/>
          <w:b/>
          <w:color w:val="365F91" w:themeColor="accent1" w:themeShade="BF"/>
          <w:szCs w:val="22"/>
        </w:rPr>
      </w:pPr>
      <w:r w:rsidRPr="00476E29">
        <w:rPr>
          <w:rFonts w:ascii="Calibri" w:hAnsi="Calibri" w:cs="Times New Roman"/>
          <w:b/>
          <w:color w:val="365F91" w:themeColor="accent1" w:themeShade="BF"/>
          <w:szCs w:val="22"/>
        </w:rPr>
        <w:t>Reporting magn</w:t>
      </w:r>
      <w:r w:rsidR="00E62803">
        <w:rPr>
          <w:rFonts w:ascii="Calibri" w:hAnsi="Calibri" w:cs="Times New Roman"/>
          <w:b/>
          <w:color w:val="365F91" w:themeColor="accent1" w:themeShade="BF"/>
          <w:szCs w:val="22"/>
        </w:rPr>
        <w:t xml:space="preserve">itudes for ‘decreasing’ </w:t>
      </w:r>
      <w:r w:rsidR="00EC76C6">
        <w:rPr>
          <w:rFonts w:ascii="Calibri" w:hAnsi="Calibri" w:cs="Times New Roman"/>
          <w:b/>
          <w:color w:val="365F91" w:themeColor="accent1" w:themeShade="BF"/>
          <w:szCs w:val="22"/>
        </w:rPr>
        <w:t>and ‘increasing’</w:t>
      </w:r>
      <w:r w:rsidR="00EC76C6" w:rsidRPr="00476E29">
        <w:rPr>
          <w:rFonts w:ascii="Calibri" w:hAnsi="Calibri" w:cs="Times New Roman"/>
          <w:b/>
          <w:color w:val="365F91" w:themeColor="accent1" w:themeShade="BF"/>
          <w:szCs w:val="22"/>
        </w:rPr>
        <w:t xml:space="preserve"> </w:t>
      </w:r>
      <w:r w:rsidRPr="00476E29">
        <w:rPr>
          <w:rFonts w:ascii="Calibri" w:hAnsi="Calibri" w:cs="Times New Roman"/>
          <w:b/>
          <w:color w:val="365F91" w:themeColor="accent1" w:themeShade="BF"/>
          <w:szCs w:val="22"/>
        </w:rPr>
        <w:t>trends</w:t>
      </w:r>
    </w:p>
    <w:p w:rsidR="005C5EEC" w:rsidRPr="00DF7ACF" w:rsidRDefault="005C5EEC" w:rsidP="003256A4">
      <w:pPr>
        <w:spacing w:before="60" w:afterLines="60" w:after="144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In theory, </w:t>
      </w:r>
      <w:r w:rsidR="00E62803">
        <w:rPr>
          <w:rFonts w:ascii="Calibri" w:hAnsi="Calibri" w:cs="Times New Roman"/>
          <w:sz w:val="22"/>
          <w:szCs w:val="22"/>
        </w:rPr>
        <w:t xml:space="preserve">the direction of trend magnitudes reported for unidirectional (i.e. </w:t>
      </w:r>
      <w:r w:rsidR="00E62803" w:rsidRPr="00E62803">
        <w:rPr>
          <w:rFonts w:ascii="Calibri" w:hAnsi="Calibri" w:cs="Times New Roman"/>
          <w:sz w:val="22"/>
          <w:szCs w:val="22"/>
        </w:rPr>
        <w:t>‘decreasing’</w:t>
      </w:r>
      <w:r w:rsidR="00EC76C6">
        <w:rPr>
          <w:rFonts w:ascii="Calibri" w:hAnsi="Calibri" w:cs="Times New Roman"/>
          <w:sz w:val="22"/>
          <w:szCs w:val="22"/>
        </w:rPr>
        <w:t xml:space="preserve"> and </w:t>
      </w:r>
      <w:r w:rsidR="00EC76C6" w:rsidRPr="00E62803">
        <w:rPr>
          <w:rFonts w:ascii="Calibri" w:hAnsi="Calibri" w:cs="Times New Roman"/>
          <w:sz w:val="22"/>
          <w:szCs w:val="22"/>
        </w:rPr>
        <w:t>‘increasing’</w:t>
      </w:r>
      <w:r w:rsidR="00E62803">
        <w:rPr>
          <w:rFonts w:ascii="Calibri" w:hAnsi="Calibri" w:cs="Times New Roman"/>
          <w:sz w:val="22"/>
          <w:szCs w:val="22"/>
        </w:rPr>
        <w:t>)</w:t>
      </w:r>
      <w:r w:rsidR="00E62803" w:rsidRPr="00E62803">
        <w:rPr>
          <w:rFonts w:ascii="Calibri" w:hAnsi="Calibri" w:cs="Times New Roman"/>
          <w:sz w:val="22"/>
          <w:szCs w:val="22"/>
        </w:rPr>
        <w:t xml:space="preserve"> trends</w:t>
      </w:r>
      <w:r w:rsidR="00E62803">
        <w:rPr>
          <w:rFonts w:ascii="Calibri" w:hAnsi="Calibri" w:cs="Times New Roman"/>
          <w:sz w:val="22"/>
          <w:szCs w:val="22"/>
        </w:rPr>
        <w:t xml:space="preserve"> could still be inferred based </w:t>
      </w:r>
      <w:r w:rsidR="002D314B">
        <w:rPr>
          <w:rFonts w:ascii="Calibri" w:hAnsi="Calibri" w:cs="Times New Roman"/>
          <w:sz w:val="22"/>
          <w:szCs w:val="22"/>
        </w:rPr>
        <w:t xml:space="preserve">solely </w:t>
      </w:r>
      <w:r w:rsidR="00E62803">
        <w:rPr>
          <w:rFonts w:ascii="Calibri" w:hAnsi="Calibri" w:cs="Times New Roman"/>
          <w:sz w:val="22"/>
          <w:szCs w:val="22"/>
        </w:rPr>
        <w:t>on the entry</w:t>
      </w:r>
      <w:r w:rsidR="00E62803" w:rsidRPr="009D0F35">
        <w:rPr>
          <w:rFonts w:ascii="Calibri" w:hAnsi="Calibri" w:cs="Times New Roman"/>
          <w:sz w:val="22"/>
          <w:szCs w:val="22"/>
        </w:rPr>
        <w:t xml:space="preserve"> in the </w:t>
      </w:r>
      <w:r w:rsidR="00232403">
        <w:rPr>
          <w:rFonts w:ascii="Calibri" w:hAnsi="Calibri" w:cs="Times New Roman"/>
          <w:sz w:val="22"/>
          <w:szCs w:val="22"/>
        </w:rPr>
        <w:t xml:space="preserve">accompanying </w:t>
      </w:r>
      <w:r w:rsidR="00E62803" w:rsidRPr="009D0F35">
        <w:rPr>
          <w:rFonts w:ascii="Calibri" w:hAnsi="Calibri" w:cs="Times New Roman"/>
          <w:sz w:val="22"/>
          <w:szCs w:val="22"/>
        </w:rPr>
        <w:t>trend direction field</w:t>
      </w:r>
      <w:r w:rsidR="00E62803">
        <w:rPr>
          <w:rFonts w:ascii="Calibri" w:hAnsi="Calibri" w:cs="Times New Roman"/>
          <w:sz w:val="22"/>
          <w:szCs w:val="22"/>
        </w:rPr>
        <w:t xml:space="preserve">. However, given the </w:t>
      </w:r>
      <w:r w:rsidR="00232403">
        <w:rPr>
          <w:rFonts w:ascii="Calibri" w:hAnsi="Calibri" w:cs="Times New Roman"/>
          <w:sz w:val="22"/>
          <w:szCs w:val="22"/>
        </w:rPr>
        <w:t>loosening</w:t>
      </w:r>
      <w:r w:rsidR="00E62803">
        <w:rPr>
          <w:rFonts w:ascii="Calibri" w:hAnsi="Calibri" w:cs="Times New Roman"/>
          <w:sz w:val="22"/>
          <w:szCs w:val="22"/>
        </w:rPr>
        <w:t xml:space="preserve"> of restrictions on trend magnitude fields in the reporting tool, the need for clarity </w:t>
      </w:r>
      <w:r w:rsidR="00277C5D">
        <w:rPr>
          <w:rFonts w:ascii="Calibri" w:hAnsi="Calibri" w:cs="Times New Roman"/>
          <w:sz w:val="22"/>
          <w:szCs w:val="22"/>
        </w:rPr>
        <w:t xml:space="preserve">still </w:t>
      </w:r>
      <w:r w:rsidR="00E62803">
        <w:rPr>
          <w:rFonts w:ascii="Calibri" w:hAnsi="Calibri" w:cs="Times New Roman"/>
          <w:sz w:val="22"/>
          <w:szCs w:val="22"/>
        </w:rPr>
        <w:t xml:space="preserve">in </w:t>
      </w:r>
      <w:r w:rsidR="00232403">
        <w:rPr>
          <w:rFonts w:ascii="Calibri" w:hAnsi="Calibri" w:cs="Times New Roman"/>
          <w:sz w:val="22"/>
          <w:szCs w:val="22"/>
        </w:rPr>
        <w:t xml:space="preserve">certain </w:t>
      </w:r>
      <w:r w:rsidR="005551B8">
        <w:rPr>
          <w:rFonts w:ascii="Calibri" w:hAnsi="Calibri" w:cs="Times New Roman"/>
          <w:sz w:val="22"/>
          <w:szCs w:val="22"/>
        </w:rPr>
        <w:t xml:space="preserve">other </w:t>
      </w:r>
      <w:r w:rsidR="00E62803">
        <w:rPr>
          <w:rFonts w:ascii="Calibri" w:hAnsi="Calibri" w:cs="Times New Roman"/>
          <w:sz w:val="22"/>
          <w:szCs w:val="22"/>
        </w:rPr>
        <w:t>sit</w:t>
      </w:r>
      <w:r w:rsidR="005551B8">
        <w:rPr>
          <w:rFonts w:ascii="Calibri" w:hAnsi="Calibri" w:cs="Times New Roman"/>
          <w:sz w:val="22"/>
          <w:szCs w:val="22"/>
        </w:rPr>
        <w:t>uations, plus the benefits</w:t>
      </w:r>
      <w:r w:rsidR="00E62803">
        <w:rPr>
          <w:rFonts w:ascii="Calibri" w:hAnsi="Calibri" w:cs="Times New Roman"/>
          <w:sz w:val="22"/>
          <w:szCs w:val="22"/>
        </w:rPr>
        <w:t xml:space="preserve"> of a consistent approach across </w:t>
      </w:r>
      <w:r w:rsidR="00EC76C6">
        <w:rPr>
          <w:rFonts w:ascii="Calibri" w:hAnsi="Calibri" w:cs="Times New Roman"/>
          <w:sz w:val="22"/>
          <w:szCs w:val="22"/>
        </w:rPr>
        <w:t xml:space="preserve">all </w:t>
      </w:r>
      <w:r w:rsidR="00E62803">
        <w:rPr>
          <w:rFonts w:ascii="Calibri" w:hAnsi="Calibri" w:cs="Times New Roman"/>
          <w:sz w:val="22"/>
          <w:szCs w:val="22"/>
        </w:rPr>
        <w:t xml:space="preserve">trend-direction categories, the </w:t>
      </w:r>
      <w:r w:rsidR="00EC76C6">
        <w:rPr>
          <w:rFonts w:ascii="Calibri" w:hAnsi="Calibri" w:cs="Times New Roman"/>
          <w:sz w:val="22"/>
          <w:szCs w:val="22"/>
        </w:rPr>
        <w:t xml:space="preserve">guidance is </w:t>
      </w:r>
      <w:r w:rsidR="00232403">
        <w:rPr>
          <w:rFonts w:ascii="Calibri" w:hAnsi="Calibri" w:cs="Times New Roman"/>
          <w:sz w:val="22"/>
          <w:szCs w:val="22"/>
        </w:rPr>
        <w:t xml:space="preserve">now </w:t>
      </w:r>
      <w:r w:rsidR="00EC76C6">
        <w:rPr>
          <w:rFonts w:ascii="Calibri" w:hAnsi="Calibri" w:cs="Times New Roman"/>
          <w:sz w:val="22"/>
          <w:szCs w:val="22"/>
        </w:rPr>
        <w:t>to include the ‘-’</w:t>
      </w:r>
      <w:r w:rsidR="00EC76C6" w:rsidRPr="009D0F35">
        <w:rPr>
          <w:rFonts w:ascii="Calibri" w:hAnsi="Calibri" w:cs="Times New Roman"/>
          <w:sz w:val="22"/>
          <w:szCs w:val="22"/>
        </w:rPr>
        <w:t xml:space="preserve"> sign</w:t>
      </w:r>
      <w:r w:rsidR="00EC76C6">
        <w:rPr>
          <w:rFonts w:ascii="Calibri" w:hAnsi="Calibri" w:cs="Times New Roman"/>
          <w:sz w:val="22"/>
          <w:szCs w:val="22"/>
        </w:rPr>
        <w:t xml:space="preserve"> for all negative trend magnitudes, including </w:t>
      </w:r>
      <w:r w:rsidR="00232403">
        <w:rPr>
          <w:rFonts w:ascii="Calibri" w:hAnsi="Calibri" w:cs="Times New Roman"/>
          <w:sz w:val="22"/>
          <w:szCs w:val="22"/>
        </w:rPr>
        <w:t>cases where</w:t>
      </w:r>
      <w:r w:rsidR="00EC76C6">
        <w:rPr>
          <w:rFonts w:ascii="Calibri" w:hAnsi="Calibri" w:cs="Times New Roman"/>
          <w:sz w:val="22"/>
          <w:szCs w:val="22"/>
        </w:rPr>
        <w:t xml:space="preserve"> the direction is </w:t>
      </w:r>
      <w:r w:rsidR="00277C5D">
        <w:rPr>
          <w:rFonts w:ascii="Calibri" w:hAnsi="Calibri" w:cs="Times New Roman"/>
          <w:sz w:val="22"/>
          <w:szCs w:val="22"/>
        </w:rPr>
        <w:t>already indicated</w:t>
      </w:r>
      <w:r w:rsidR="00EC76C6">
        <w:rPr>
          <w:rFonts w:ascii="Calibri" w:hAnsi="Calibri" w:cs="Times New Roman"/>
          <w:sz w:val="22"/>
          <w:szCs w:val="22"/>
        </w:rPr>
        <w:t xml:space="preserve"> as ‘decreasing’. Nevertheless, to avoid unnecessary data entry, </w:t>
      </w:r>
      <w:r w:rsidR="00232403">
        <w:rPr>
          <w:rFonts w:ascii="Calibri" w:hAnsi="Calibri" w:cs="Times New Roman"/>
          <w:sz w:val="22"/>
          <w:szCs w:val="22"/>
        </w:rPr>
        <w:t xml:space="preserve">it is not necessary to include </w:t>
      </w:r>
      <w:r w:rsidR="00EC76C6">
        <w:rPr>
          <w:rFonts w:ascii="Calibri" w:hAnsi="Calibri" w:cs="Times New Roman"/>
          <w:sz w:val="22"/>
          <w:szCs w:val="22"/>
        </w:rPr>
        <w:t>the ‘+’</w:t>
      </w:r>
      <w:r w:rsidR="00EC76C6" w:rsidRPr="009D0F35">
        <w:rPr>
          <w:rFonts w:ascii="Calibri" w:hAnsi="Calibri" w:cs="Times New Roman"/>
          <w:sz w:val="22"/>
          <w:szCs w:val="22"/>
        </w:rPr>
        <w:t xml:space="preserve"> sign</w:t>
      </w:r>
      <w:r w:rsidR="00EC76C6">
        <w:rPr>
          <w:rFonts w:ascii="Calibri" w:hAnsi="Calibri" w:cs="Times New Roman"/>
          <w:sz w:val="22"/>
          <w:szCs w:val="22"/>
        </w:rPr>
        <w:t xml:space="preserve"> for positive trends (i.e. a trend magnitude of ‘15’ </w:t>
      </w:r>
      <w:r w:rsidR="00232403">
        <w:rPr>
          <w:rFonts w:ascii="Calibri" w:hAnsi="Calibri" w:cs="Times New Roman"/>
          <w:sz w:val="22"/>
          <w:szCs w:val="22"/>
        </w:rPr>
        <w:t>will be</w:t>
      </w:r>
      <w:r w:rsidR="005551B8">
        <w:rPr>
          <w:rFonts w:ascii="Calibri" w:hAnsi="Calibri" w:cs="Times New Roman"/>
          <w:sz w:val="22"/>
          <w:szCs w:val="22"/>
        </w:rPr>
        <w:t xml:space="preserve"> </w:t>
      </w:r>
      <w:r w:rsidR="00EC76C6">
        <w:rPr>
          <w:rFonts w:ascii="Calibri" w:hAnsi="Calibri" w:cs="Times New Roman"/>
          <w:sz w:val="22"/>
          <w:szCs w:val="22"/>
        </w:rPr>
        <w:t xml:space="preserve">assumed to </w:t>
      </w:r>
      <w:r w:rsidR="005551B8">
        <w:rPr>
          <w:rFonts w:ascii="Calibri" w:hAnsi="Calibri" w:cs="Times New Roman"/>
          <w:sz w:val="22"/>
          <w:szCs w:val="22"/>
        </w:rPr>
        <w:t xml:space="preserve">represent +15%). </w:t>
      </w:r>
      <w:proofErr w:type="gramStart"/>
      <w:r w:rsidR="00232403">
        <w:rPr>
          <w:rFonts w:ascii="Calibri" w:hAnsi="Calibri" w:cs="Times New Roman"/>
          <w:sz w:val="22"/>
          <w:szCs w:val="22"/>
        </w:rPr>
        <w:t>In the case of negative trends, note</w:t>
      </w:r>
      <w:r w:rsidR="002D314B">
        <w:rPr>
          <w:rFonts w:ascii="Calibri" w:hAnsi="Calibri" w:cs="Times New Roman"/>
          <w:sz w:val="22"/>
          <w:szCs w:val="22"/>
        </w:rPr>
        <w:t xml:space="preserve"> </w:t>
      </w:r>
      <w:r w:rsidR="00232403">
        <w:rPr>
          <w:rFonts w:ascii="Calibri" w:hAnsi="Calibri" w:cs="Times New Roman"/>
          <w:sz w:val="22"/>
          <w:szCs w:val="22"/>
        </w:rPr>
        <w:t xml:space="preserve">that </w:t>
      </w:r>
      <w:r w:rsidR="00277C5D">
        <w:rPr>
          <w:rFonts w:ascii="Calibri" w:hAnsi="Calibri" w:cs="Times New Roman"/>
          <w:sz w:val="22"/>
          <w:szCs w:val="22"/>
        </w:rPr>
        <w:t xml:space="preserve">the </w:t>
      </w:r>
      <w:r w:rsidR="00232403">
        <w:rPr>
          <w:rFonts w:ascii="Calibri" w:hAnsi="Calibri" w:cs="Times New Roman"/>
          <w:sz w:val="22"/>
          <w:szCs w:val="22"/>
        </w:rPr>
        <w:t xml:space="preserve">‘Minimum’ and ‘Maximum’ </w:t>
      </w:r>
      <w:r w:rsidR="00DF7ACF">
        <w:rPr>
          <w:rFonts w:ascii="Calibri" w:hAnsi="Calibri" w:cs="Times New Roman"/>
          <w:sz w:val="22"/>
          <w:szCs w:val="22"/>
        </w:rPr>
        <w:t xml:space="preserve">fields </w:t>
      </w:r>
      <w:r w:rsidR="00232403">
        <w:rPr>
          <w:rFonts w:ascii="Calibri" w:hAnsi="Calibri" w:cs="Times New Roman"/>
          <w:sz w:val="22"/>
          <w:szCs w:val="22"/>
        </w:rPr>
        <w:t xml:space="preserve">relate to minimum and maximum </w:t>
      </w:r>
      <w:r w:rsidR="00A40775">
        <w:rPr>
          <w:rFonts w:ascii="Calibri" w:hAnsi="Calibri" w:cs="Times New Roman"/>
          <w:sz w:val="22"/>
          <w:szCs w:val="22"/>
        </w:rPr>
        <w:t xml:space="preserve">values </w:t>
      </w:r>
      <w:r w:rsidR="00A40775">
        <w:rPr>
          <w:rFonts w:ascii="Calibri" w:hAnsi="Calibri" w:cs="Times New Roman"/>
          <w:sz w:val="22"/>
          <w:szCs w:val="22"/>
          <w:u w:val="single"/>
        </w:rPr>
        <w:t>m</w:t>
      </w:r>
      <w:bookmarkStart w:id="0" w:name="_GoBack"/>
      <w:bookmarkEnd w:id="0"/>
      <w:r w:rsidR="00A40775">
        <w:rPr>
          <w:rFonts w:ascii="Calibri" w:hAnsi="Calibri" w:cs="Times New Roman"/>
          <w:sz w:val="22"/>
          <w:szCs w:val="22"/>
          <w:u w:val="single"/>
        </w:rPr>
        <w:t>athematically</w:t>
      </w:r>
      <w:r w:rsidR="00816B84">
        <w:rPr>
          <w:rFonts w:ascii="Calibri" w:hAnsi="Calibri" w:cs="Times New Roman"/>
          <w:sz w:val="22"/>
          <w:szCs w:val="22"/>
        </w:rPr>
        <w:t xml:space="preserve"> (</w:t>
      </w:r>
      <w:r w:rsidR="00DF7ACF">
        <w:rPr>
          <w:rFonts w:ascii="Calibri" w:hAnsi="Calibri" w:cs="Times New Roman"/>
          <w:sz w:val="22"/>
          <w:szCs w:val="22"/>
        </w:rPr>
        <w:t xml:space="preserve">not </w:t>
      </w:r>
      <w:r w:rsidR="00816B84">
        <w:rPr>
          <w:rFonts w:ascii="Calibri" w:hAnsi="Calibri" w:cs="Times New Roman"/>
          <w:sz w:val="22"/>
          <w:szCs w:val="22"/>
        </w:rPr>
        <w:t xml:space="preserve">minimum and maximum </w:t>
      </w:r>
      <w:r w:rsidR="0061490B" w:rsidRPr="0061490B">
        <w:rPr>
          <w:rFonts w:ascii="Calibri" w:hAnsi="Calibri" w:cs="Times New Roman"/>
          <w:sz w:val="22"/>
          <w:szCs w:val="22"/>
          <w:u w:val="single"/>
        </w:rPr>
        <w:t>declines</w:t>
      </w:r>
      <w:r w:rsidR="00816B84">
        <w:rPr>
          <w:rFonts w:ascii="Calibri" w:hAnsi="Calibri" w:cs="Times New Roman"/>
          <w:sz w:val="22"/>
          <w:szCs w:val="22"/>
        </w:rPr>
        <w:t>)</w:t>
      </w:r>
      <w:r w:rsidR="00DF7ACF">
        <w:rPr>
          <w:rFonts w:ascii="Calibri" w:hAnsi="Calibri" w:cs="Times New Roman"/>
          <w:sz w:val="22"/>
          <w:szCs w:val="22"/>
        </w:rPr>
        <w:t>.</w:t>
      </w:r>
      <w:proofErr w:type="gramEnd"/>
      <w:r w:rsidR="00DF7ACF">
        <w:rPr>
          <w:rFonts w:ascii="Calibri" w:hAnsi="Calibri" w:cs="Times New Roman"/>
          <w:sz w:val="22"/>
          <w:szCs w:val="22"/>
        </w:rPr>
        <w:t xml:space="preserve"> </w:t>
      </w:r>
      <w:r w:rsidR="005551B8" w:rsidRPr="00DF7ACF">
        <w:rPr>
          <w:rFonts w:ascii="Calibri" w:hAnsi="Calibri" w:cs="Times New Roman"/>
          <w:sz w:val="22"/>
          <w:szCs w:val="22"/>
        </w:rPr>
        <w:t xml:space="preserve">See </w:t>
      </w:r>
      <w:r w:rsidR="00DF7ACF" w:rsidRPr="00DF7ACF">
        <w:rPr>
          <w:rFonts w:ascii="Calibri" w:hAnsi="Calibri" w:cs="Times New Roman"/>
          <w:sz w:val="22"/>
          <w:szCs w:val="22"/>
        </w:rPr>
        <w:t xml:space="preserve">Box 1 </w:t>
      </w:r>
      <w:r w:rsidR="005551B8" w:rsidRPr="00DF7ACF">
        <w:rPr>
          <w:rFonts w:ascii="Calibri" w:hAnsi="Calibri" w:cs="Times New Roman"/>
          <w:sz w:val="22"/>
          <w:szCs w:val="22"/>
        </w:rPr>
        <w:t>below for examples</w:t>
      </w:r>
      <w:r w:rsidR="00700337">
        <w:rPr>
          <w:rFonts w:ascii="Calibri" w:hAnsi="Calibri" w:cs="Times New Roman"/>
          <w:sz w:val="22"/>
          <w:szCs w:val="22"/>
        </w:rPr>
        <w:t>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F7ACF" w:rsidRPr="00584BDD" w:rsidTr="00DF7ACF">
        <w:trPr>
          <w:trHeight w:val="697"/>
          <w:jc w:val="center"/>
        </w:trPr>
        <w:tc>
          <w:tcPr>
            <w:tcW w:w="9072" w:type="dxa"/>
          </w:tcPr>
          <w:p w:rsidR="00DF7ACF" w:rsidRPr="00DF7ACF" w:rsidRDefault="00DF7ACF" w:rsidP="00DF7AC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7A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Box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DF7A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233CFC">
              <w:rPr>
                <w:rFonts w:asciiTheme="minorHAnsi" w:hAnsiTheme="minorHAnsi" w:cstheme="minorHAnsi"/>
                <w:b/>
                <w:sz w:val="22"/>
                <w:szCs w:val="22"/>
              </w:rPr>
              <w:t>Example</w:t>
            </w:r>
            <w:r w:rsidR="00277C5D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816B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33C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 trend-magnitude reporting </w:t>
            </w:r>
            <w:r w:rsidR="00816B84">
              <w:rPr>
                <w:rFonts w:asciiTheme="minorHAnsi" w:hAnsiTheme="minorHAnsi" w:cstheme="minorHAnsi"/>
                <w:b/>
                <w:sz w:val="22"/>
                <w:szCs w:val="22"/>
              </w:rPr>
              <w:t>for ‘decreasing’ and ‘increasing’ trends</w:t>
            </w:r>
          </w:p>
          <w:p w:rsidR="00DF7ACF" w:rsidRDefault="00337DE3" w:rsidP="00337DE3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the case of a species with an estimated trend of </w:t>
            </w:r>
            <w:r w:rsidRPr="00337DE3">
              <w:rPr>
                <w:rFonts w:asciiTheme="minorHAnsi" w:hAnsiTheme="minorHAnsi" w:cstheme="minorHAnsi"/>
                <w:sz w:val="22"/>
                <w:szCs w:val="22"/>
              </w:rPr>
              <w:t xml:space="preserve">-7 %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over the relevant </w:t>
            </w:r>
            <w:r w:rsidR="009309AD">
              <w:rPr>
                <w:rFonts w:asciiTheme="minorHAnsi" w:hAnsiTheme="minorHAnsi" w:cstheme="minorHAnsi"/>
                <w:sz w:val="22"/>
                <w:szCs w:val="22"/>
              </w:rPr>
              <w:t xml:space="preserve">trend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period,</w:t>
            </w:r>
            <w:r w:rsidRPr="00337D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Pr="00337DE3">
              <w:rPr>
                <w:rFonts w:asciiTheme="minorHAnsi" w:hAnsiTheme="minorHAnsi" w:cstheme="minorHAnsi"/>
                <w:sz w:val="22"/>
                <w:szCs w:val="22"/>
              </w:rPr>
              <w:t xml:space="preserve">95 % confidence limits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of -</w:t>
            </w:r>
            <w:r w:rsidR="00A40775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% and -</w:t>
            </w:r>
            <w:r w:rsidR="00A4077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% (i.e. not overlapping zero and hence </w:t>
            </w:r>
            <w:r w:rsidRPr="00337DE3">
              <w:rPr>
                <w:rFonts w:asciiTheme="minorHAnsi" w:hAnsiTheme="minorHAnsi" w:cstheme="minorHAnsi"/>
                <w:sz w:val="22"/>
                <w:szCs w:val="22"/>
              </w:rPr>
              <w:t>indicating a statistically significant change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337DE3">
              <w:rPr>
                <w:rFonts w:asciiTheme="minorHAnsi" w:hAnsiTheme="minorHAnsi" w:cstheme="minorHAnsi"/>
                <w:sz w:val="22"/>
                <w:szCs w:val="22"/>
              </w:rPr>
              <w:t>, the trend direction should be reported as ‘decreasing’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the minimum trend magnitude as ‘-</w:t>
            </w:r>
            <w:r w:rsidR="00A40775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’, the maximum as ‘-</w:t>
            </w:r>
            <w:r w:rsidR="00A4077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 and the best</w:t>
            </w:r>
            <w:r w:rsidRPr="00337D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single value as ‘-7’.</w:t>
            </w:r>
          </w:p>
          <w:p w:rsidR="00337DE3" w:rsidRPr="00584BDD" w:rsidRDefault="009309AD" w:rsidP="009309AD">
            <w:pPr>
              <w:spacing w:after="6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the case of a species with</w:t>
            </w:r>
            <w:r w:rsidR="00337DE3">
              <w:rPr>
                <w:rFonts w:asciiTheme="minorHAnsi" w:hAnsiTheme="minorHAnsi" w:cstheme="minorHAnsi"/>
                <w:sz w:val="22"/>
                <w:szCs w:val="22"/>
              </w:rPr>
              <w:t xml:space="preserve"> an estimated trend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+18 % over the relevant period, with 95</w:t>
            </w:r>
            <w:r w:rsidR="002D31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 confidence limits of +12 % and +24</w:t>
            </w:r>
            <w:r w:rsidR="002D31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%, the trend direction should be reported as ‘increasing’, and the minimum</w:t>
            </w:r>
            <w:r w:rsidR="00277C5D">
              <w:rPr>
                <w:rFonts w:asciiTheme="minorHAnsi" w:hAnsiTheme="minorHAnsi" w:cstheme="minorHAnsi"/>
                <w:sz w:val="22"/>
                <w:szCs w:val="22"/>
              </w:rPr>
              <w:t>, maximum and best single value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126D">
              <w:rPr>
                <w:rFonts w:asciiTheme="minorHAnsi" w:hAnsiTheme="minorHAnsi" w:cstheme="minorHAnsi"/>
                <w:sz w:val="22"/>
                <w:szCs w:val="22"/>
              </w:rPr>
              <w:t xml:space="preserve">for magnitude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 ‘12’, ‘24’ and ‘18’ respectively.</w:t>
            </w:r>
          </w:p>
        </w:tc>
      </w:tr>
    </w:tbl>
    <w:p w:rsidR="00880875" w:rsidRPr="003256A4" w:rsidRDefault="00FD3A09" w:rsidP="003256A4">
      <w:pPr>
        <w:spacing w:before="180" w:after="60"/>
        <w:rPr>
          <w:rFonts w:ascii="Calibri" w:hAnsi="Calibri" w:cs="Times New Roman"/>
          <w:b/>
          <w:color w:val="365F91" w:themeColor="accent1" w:themeShade="BF"/>
          <w:szCs w:val="22"/>
        </w:rPr>
      </w:pPr>
      <w:r>
        <w:rPr>
          <w:rFonts w:ascii="Calibri" w:hAnsi="Calibri" w:cs="Times New Roman"/>
          <w:b/>
          <w:color w:val="365F91" w:themeColor="accent1" w:themeShade="BF"/>
          <w:szCs w:val="22"/>
        </w:rPr>
        <w:lastRenderedPageBreak/>
        <w:t>Reporting magnitudes for ‘uncertain’</w:t>
      </w:r>
      <w:r w:rsidR="00880875" w:rsidRPr="003256A4">
        <w:rPr>
          <w:rFonts w:ascii="Calibri" w:hAnsi="Calibri" w:cs="Times New Roman"/>
          <w:b/>
          <w:color w:val="365F91" w:themeColor="accent1" w:themeShade="BF"/>
          <w:szCs w:val="22"/>
        </w:rPr>
        <w:t xml:space="preserve"> trends</w:t>
      </w:r>
    </w:p>
    <w:p w:rsidR="007B11CF" w:rsidRDefault="00713BAC" w:rsidP="006314A6">
      <w:pPr>
        <w:widowControl w:val="0"/>
        <w:spacing w:before="60" w:afterLines="60" w:after="144"/>
        <w:rPr>
          <w:rFonts w:ascii="Calibri" w:eastAsia="Times New Roman" w:hAnsi="Calibri" w:cs="Times New Roman"/>
          <w:sz w:val="22"/>
          <w:szCs w:val="22"/>
          <w:lang w:eastAsia="en-GB"/>
        </w:rPr>
      </w:pPr>
      <w:r>
        <w:rPr>
          <w:rFonts w:ascii="Calibri" w:hAnsi="Calibri" w:cs="Times New Roman"/>
          <w:sz w:val="22"/>
          <w:szCs w:val="22"/>
        </w:rPr>
        <w:t xml:space="preserve">As indicated in the guidelines (pp. 27 </w:t>
      </w:r>
      <w:r w:rsidR="00B83D13">
        <w:rPr>
          <w:rFonts w:ascii="Calibri" w:hAnsi="Calibri" w:cs="Times New Roman"/>
          <w:sz w:val="22"/>
          <w:szCs w:val="22"/>
        </w:rPr>
        <w:t xml:space="preserve">and </w:t>
      </w:r>
      <w:r>
        <w:rPr>
          <w:rFonts w:ascii="Calibri" w:hAnsi="Calibri" w:cs="Times New Roman"/>
          <w:sz w:val="22"/>
          <w:szCs w:val="22"/>
        </w:rPr>
        <w:t>59–60),</w:t>
      </w:r>
      <w:r w:rsidR="003A4E00" w:rsidRPr="009D0F35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 xml:space="preserve">the </w:t>
      </w:r>
      <w:r w:rsidR="00277C5D">
        <w:rPr>
          <w:rFonts w:ascii="Calibri" w:hAnsi="Calibri" w:cs="Times New Roman"/>
          <w:sz w:val="22"/>
          <w:szCs w:val="22"/>
        </w:rPr>
        <w:t xml:space="preserve">new </w:t>
      </w:r>
      <w:r>
        <w:rPr>
          <w:rFonts w:ascii="Calibri" w:hAnsi="Calibri" w:cs="Times New Roman"/>
          <w:sz w:val="22"/>
          <w:szCs w:val="22"/>
        </w:rPr>
        <w:t>trend direction category ‘uncertain’</w:t>
      </w:r>
      <w:r w:rsidR="003A4E00" w:rsidRPr="009D0F35">
        <w:rPr>
          <w:rFonts w:ascii="Calibri" w:hAnsi="Calibri" w:cs="Times New Roman"/>
          <w:sz w:val="22"/>
          <w:szCs w:val="22"/>
        </w:rPr>
        <w:t xml:space="preserve"> </w:t>
      </w:r>
      <w:r w:rsidR="00744548" w:rsidRPr="009D0F35">
        <w:rPr>
          <w:rFonts w:ascii="Calibri" w:hAnsi="Calibri" w:cs="Times New Roman"/>
          <w:sz w:val="22"/>
          <w:szCs w:val="22"/>
        </w:rPr>
        <w:t>i</w:t>
      </w:r>
      <w:r w:rsidR="00744548" w:rsidRPr="00713BAC">
        <w:rPr>
          <w:rFonts w:asciiTheme="minorHAnsi" w:hAnsiTheme="minorHAnsi" w:cstheme="minorHAnsi"/>
          <w:sz w:val="22"/>
          <w:szCs w:val="22"/>
        </w:rPr>
        <w:t>s</w:t>
      </w:r>
      <w:r w:rsidRPr="00713BAC">
        <w:rPr>
          <w:rFonts w:asciiTheme="minorHAnsi" w:hAnsiTheme="minorHAnsi" w:cstheme="minorHAnsi"/>
          <w:sz w:val="22"/>
          <w:szCs w:val="22"/>
        </w:rPr>
        <w:t xml:space="preserve"> intended </w:t>
      </w:r>
      <w:r>
        <w:rPr>
          <w:rFonts w:asciiTheme="minorHAnsi" w:hAnsiTheme="minorHAnsi" w:cstheme="minorHAnsi"/>
          <w:sz w:val="22"/>
          <w:szCs w:val="22"/>
        </w:rPr>
        <w:t xml:space="preserve">to cover situations where monitoring </w:t>
      </w:r>
      <w:r w:rsidR="00B83D13">
        <w:rPr>
          <w:rFonts w:asciiTheme="minorHAnsi" w:hAnsiTheme="minorHAnsi" w:cstheme="minorHAnsi"/>
          <w:sz w:val="22"/>
          <w:szCs w:val="22"/>
        </w:rPr>
        <w:t>information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13BAC">
        <w:rPr>
          <w:rFonts w:ascii="Calibri" w:hAnsi="Calibri" w:cs="Times New Roman"/>
          <w:sz w:val="22"/>
          <w:szCs w:val="22"/>
        </w:rPr>
        <w:t xml:space="preserve">does exist for </w:t>
      </w:r>
      <w:r w:rsidR="00277C5D">
        <w:rPr>
          <w:rFonts w:ascii="Calibri" w:hAnsi="Calibri" w:cs="Times New Roman"/>
          <w:sz w:val="22"/>
          <w:szCs w:val="22"/>
        </w:rPr>
        <w:t>a</w:t>
      </w:r>
      <w:r w:rsidRPr="00713BAC">
        <w:rPr>
          <w:rFonts w:ascii="Calibri" w:hAnsi="Calibri" w:cs="Times New Roman"/>
          <w:sz w:val="22"/>
          <w:szCs w:val="22"/>
        </w:rPr>
        <w:t xml:space="preserve"> species, but </w:t>
      </w:r>
      <w:r>
        <w:rPr>
          <w:rFonts w:ascii="Calibri" w:hAnsi="Calibri" w:cs="Times New Roman"/>
          <w:sz w:val="22"/>
          <w:szCs w:val="22"/>
        </w:rPr>
        <w:t xml:space="preserve">is </w:t>
      </w:r>
      <w:r w:rsidR="00254D3B">
        <w:rPr>
          <w:rFonts w:ascii="Calibri" w:hAnsi="Calibri" w:cs="Times New Roman"/>
          <w:sz w:val="22"/>
          <w:szCs w:val="22"/>
        </w:rPr>
        <w:t xml:space="preserve">currently </w:t>
      </w:r>
      <w:r w:rsidR="00B83D13" w:rsidRPr="00254D3B">
        <w:rPr>
          <w:rFonts w:ascii="Calibri" w:hAnsi="Calibri" w:cs="Times New Roman"/>
          <w:sz w:val="22"/>
          <w:szCs w:val="22"/>
        </w:rPr>
        <w:t>in</w:t>
      </w:r>
      <w:r w:rsidRPr="00254D3B">
        <w:rPr>
          <w:rFonts w:ascii="Calibri" w:hAnsi="Calibri" w:cs="Times New Roman"/>
          <w:sz w:val="22"/>
          <w:szCs w:val="22"/>
        </w:rPr>
        <w:t xml:space="preserve">conclusive </w:t>
      </w:r>
      <w:r w:rsidR="00E66B62" w:rsidRPr="00254D3B">
        <w:rPr>
          <w:rFonts w:ascii="Calibri" w:hAnsi="Calibri" w:cs="Times New Roman"/>
          <w:sz w:val="22"/>
          <w:szCs w:val="22"/>
        </w:rPr>
        <w:t>(</w:t>
      </w:r>
      <w:r w:rsidR="00AD2C3E">
        <w:rPr>
          <w:rFonts w:ascii="Calibri" w:hAnsi="Calibri" w:cs="Times New Roman"/>
          <w:sz w:val="22"/>
          <w:szCs w:val="22"/>
        </w:rPr>
        <w:t xml:space="preserve">perhaps </w:t>
      </w:r>
      <w:r w:rsidR="00AD2C3E">
        <w:rPr>
          <w:rFonts w:ascii="Calibri" w:eastAsia="Times New Roman" w:hAnsi="Calibri" w:cs="Times New Roman"/>
          <w:sz w:val="22"/>
          <w:szCs w:val="22"/>
          <w:lang w:eastAsia="en-GB"/>
        </w:rPr>
        <w:t xml:space="preserve">as a consequence of </w:t>
      </w:r>
      <w:r w:rsidR="007B11CF" w:rsidRPr="00254D3B">
        <w:rPr>
          <w:rFonts w:ascii="Calibri" w:eastAsia="Times New Roman" w:hAnsi="Calibri" w:cs="Times New Roman"/>
          <w:sz w:val="22"/>
          <w:szCs w:val="22"/>
          <w:lang w:eastAsia="en-GB"/>
        </w:rPr>
        <w:t>small sample sizes and</w:t>
      </w:r>
      <w:r w:rsidR="00254D3B" w:rsidRPr="00254D3B">
        <w:rPr>
          <w:rFonts w:ascii="Calibri" w:eastAsia="Times New Roman" w:hAnsi="Calibri" w:cs="Times New Roman"/>
          <w:sz w:val="22"/>
          <w:szCs w:val="22"/>
          <w:lang w:eastAsia="en-GB"/>
        </w:rPr>
        <w:t>/or</w:t>
      </w:r>
      <w:r w:rsidR="007B11CF" w:rsidRPr="00254D3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stochastic effects)</w:t>
      </w:r>
      <w:r w:rsidR="00254D3B" w:rsidRPr="00254D3B">
        <w:rPr>
          <w:rFonts w:ascii="Calibri" w:eastAsia="Times New Roman" w:hAnsi="Calibri" w:cs="Times New Roman"/>
          <w:sz w:val="22"/>
          <w:szCs w:val="22"/>
          <w:lang w:eastAsia="en-GB"/>
        </w:rPr>
        <w:t>.</w:t>
      </w:r>
      <w:r w:rsidR="007B11CF" w:rsidRPr="009D0F35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  <w:r w:rsidR="00FD3A09">
        <w:rPr>
          <w:rFonts w:ascii="Calibri" w:eastAsia="Times New Roman" w:hAnsi="Calibri" w:cs="Times New Roman"/>
          <w:sz w:val="22"/>
          <w:szCs w:val="22"/>
          <w:lang w:eastAsia="en-GB"/>
        </w:rPr>
        <w:t>In the case of trends categorised as ‘uncertain’ by TRIM</w:t>
      </w:r>
      <w:r w:rsidR="00277C5D">
        <w:rPr>
          <w:rStyle w:val="FootnoteReference"/>
          <w:rFonts w:ascii="Calibri" w:eastAsia="Times New Roman" w:hAnsi="Calibri" w:cs="Times New Roman"/>
          <w:sz w:val="22"/>
          <w:szCs w:val="22"/>
          <w:lang w:eastAsia="en-GB"/>
        </w:rPr>
        <w:footnoteReference w:id="1"/>
      </w:r>
      <w:r w:rsidR="00FD3A09">
        <w:rPr>
          <w:rFonts w:ascii="Calibri" w:eastAsia="Times New Roman" w:hAnsi="Calibri" w:cs="Times New Roman"/>
          <w:sz w:val="22"/>
          <w:szCs w:val="22"/>
          <w:lang w:eastAsia="en-GB"/>
        </w:rPr>
        <w:t xml:space="preserve">, for example, lower and upper </w:t>
      </w:r>
      <w:r w:rsidR="00AD2C3E">
        <w:rPr>
          <w:rFonts w:ascii="Calibri" w:eastAsia="Times New Roman" w:hAnsi="Calibri" w:cs="Times New Roman"/>
          <w:sz w:val="22"/>
          <w:szCs w:val="22"/>
          <w:lang w:eastAsia="en-GB"/>
        </w:rPr>
        <w:t xml:space="preserve">confidence limits will span zero, and widely so in </w:t>
      </w:r>
      <w:r w:rsidR="00277C5D">
        <w:rPr>
          <w:rFonts w:ascii="Calibri" w:eastAsia="Times New Roman" w:hAnsi="Calibri" w:cs="Times New Roman"/>
          <w:sz w:val="22"/>
          <w:szCs w:val="22"/>
          <w:lang w:eastAsia="en-GB"/>
        </w:rPr>
        <w:t xml:space="preserve">at least </w:t>
      </w:r>
      <w:r w:rsidR="00AD2C3E">
        <w:rPr>
          <w:rFonts w:ascii="Calibri" w:eastAsia="Times New Roman" w:hAnsi="Calibri" w:cs="Times New Roman"/>
          <w:sz w:val="22"/>
          <w:szCs w:val="22"/>
          <w:lang w:eastAsia="en-GB"/>
        </w:rPr>
        <w:t xml:space="preserve">one direction (hence why the trend </w:t>
      </w:r>
      <w:r w:rsidR="00C92A86">
        <w:rPr>
          <w:rFonts w:ascii="Calibri" w:eastAsia="Times New Roman" w:hAnsi="Calibri" w:cs="Times New Roman"/>
          <w:sz w:val="22"/>
          <w:szCs w:val="22"/>
          <w:lang w:eastAsia="en-GB"/>
        </w:rPr>
        <w:t>is</w:t>
      </w:r>
      <w:r w:rsidR="00AD2C3E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not </w:t>
      </w:r>
      <w:r w:rsidR="00277C5D">
        <w:rPr>
          <w:rFonts w:ascii="Calibri" w:eastAsia="Times New Roman" w:hAnsi="Calibri" w:cs="Times New Roman"/>
          <w:sz w:val="22"/>
          <w:szCs w:val="22"/>
          <w:lang w:eastAsia="en-GB"/>
        </w:rPr>
        <w:t>treated</w:t>
      </w:r>
      <w:r w:rsidR="002D314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as </w:t>
      </w:r>
      <w:r w:rsidR="00AD2C3E">
        <w:rPr>
          <w:rFonts w:ascii="Calibri" w:eastAsia="Times New Roman" w:hAnsi="Calibri" w:cs="Times New Roman"/>
          <w:sz w:val="22"/>
          <w:szCs w:val="22"/>
          <w:lang w:eastAsia="en-GB"/>
        </w:rPr>
        <w:t xml:space="preserve">‘stable’). In most of these cases, it is probably not appropriate to report a ‘best single value’, even if </w:t>
      </w:r>
      <w:r w:rsidR="00233CFC">
        <w:rPr>
          <w:rFonts w:ascii="Calibri" w:eastAsia="Times New Roman" w:hAnsi="Calibri" w:cs="Times New Roman"/>
          <w:sz w:val="22"/>
          <w:szCs w:val="22"/>
          <w:lang w:eastAsia="en-GB"/>
        </w:rPr>
        <w:t xml:space="preserve">an average </w:t>
      </w:r>
      <w:r w:rsidR="00AD2C3E">
        <w:rPr>
          <w:rFonts w:ascii="Calibri" w:eastAsia="Times New Roman" w:hAnsi="Calibri" w:cs="Times New Roman"/>
          <w:sz w:val="22"/>
          <w:szCs w:val="22"/>
          <w:lang w:eastAsia="en-GB"/>
        </w:rPr>
        <w:t xml:space="preserve">is available, </w:t>
      </w:r>
      <w:r w:rsidR="00233CFC">
        <w:rPr>
          <w:rFonts w:ascii="Calibri" w:eastAsia="Times New Roman" w:hAnsi="Calibri" w:cs="Times New Roman"/>
          <w:sz w:val="22"/>
          <w:szCs w:val="22"/>
          <w:lang w:eastAsia="en-GB"/>
        </w:rPr>
        <w:t xml:space="preserve">given the uncertainty over the true trend. </w:t>
      </w:r>
      <w:r w:rsidR="00700337" w:rsidRPr="00DF7ACF">
        <w:rPr>
          <w:rFonts w:ascii="Calibri" w:hAnsi="Calibri" w:cs="Times New Roman"/>
          <w:sz w:val="22"/>
          <w:szCs w:val="22"/>
        </w:rPr>
        <w:t xml:space="preserve">See </w:t>
      </w:r>
      <w:r w:rsidR="00700337">
        <w:rPr>
          <w:rFonts w:ascii="Calibri" w:hAnsi="Calibri" w:cs="Times New Roman"/>
          <w:sz w:val="22"/>
          <w:szCs w:val="22"/>
        </w:rPr>
        <w:t>Box 2</w:t>
      </w:r>
      <w:r w:rsidR="00700337" w:rsidRPr="00DF7ACF">
        <w:rPr>
          <w:rFonts w:ascii="Calibri" w:hAnsi="Calibri" w:cs="Times New Roman"/>
          <w:sz w:val="22"/>
          <w:szCs w:val="22"/>
        </w:rPr>
        <w:t xml:space="preserve"> </w:t>
      </w:r>
      <w:r w:rsidR="00700337">
        <w:rPr>
          <w:rFonts w:ascii="Calibri" w:hAnsi="Calibri" w:cs="Times New Roman"/>
          <w:sz w:val="22"/>
          <w:szCs w:val="22"/>
        </w:rPr>
        <w:t xml:space="preserve">below for </w:t>
      </w:r>
      <w:r w:rsidR="00F644E2">
        <w:rPr>
          <w:rFonts w:ascii="Calibri" w:hAnsi="Calibri" w:cs="Times New Roman"/>
          <w:sz w:val="22"/>
          <w:szCs w:val="22"/>
        </w:rPr>
        <w:t xml:space="preserve">an </w:t>
      </w:r>
      <w:r w:rsidR="00700337">
        <w:rPr>
          <w:rFonts w:ascii="Calibri" w:hAnsi="Calibri" w:cs="Times New Roman"/>
          <w:sz w:val="22"/>
          <w:szCs w:val="22"/>
        </w:rPr>
        <w:t>example</w:t>
      </w:r>
      <w:r w:rsidR="00700337" w:rsidRPr="00DF7ACF">
        <w:rPr>
          <w:rFonts w:ascii="Calibri" w:hAnsi="Calibri" w:cs="Times New Roman"/>
          <w:sz w:val="22"/>
          <w:szCs w:val="22"/>
        </w:rPr>
        <w:t>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F7ACF" w:rsidRPr="00584BDD" w:rsidTr="00186923">
        <w:trPr>
          <w:trHeight w:val="697"/>
          <w:jc w:val="center"/>
        </w:trPr>
        <w:tc>
          <w:tcPr>
            <w:tcW w:w="9072" w:type="dxa"/>
          </w:tcPr>
          <w:p w:rsidR="00DF7ACF" w:rsidRPr="00DF7ACF" w:rsidRDefault="00DF7ACF" w:rsidP="0018692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7A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Box </w:t>
            </w:r>
            <w:r w:rsidR="00816B8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DF7A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816B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Example </w:t>
            </w:r>
            <w:r w:rsidR="00233C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 trend-magnitude reporting </w:t>
            </w:r>
            <w:r w:rsidR="00816B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 </w:t>
            </w:r>
            <w:r w:rsidR="00F644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 </w:t>
            </w:r>
            <w:r w:rsidR="00816B84">
              <w:rPr>
                <w:rFonts w:asciiTheme="minorHAnsi" w:hAnsiTheme="minorHAnsi" w:cstheme="minorHAnsi"/>
                <w:b/>
                <w:sz w:val="22"/>
                <w:szCs w:val="22"/>
              </w:rPr>
              <w:t>‘uncertain’</w:t>
            </w:r>
            <w:r w:rsidR="00F644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trend</w:t>
            </w:r>
          </w:p>
          <w:p w:rsidR="00DF7ACF" w:rsidRPr="00584BDD" w:rsidRDefault="00233CFC" w:rsidP="00277C5D">
            <w:pPr>
              <w:spacing w:after="6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the case of a specie</w:t>
            </w:r>
            <w:r w:rsidR="00C92A86">
              <w:rPr>
                <w:rFonts w:asciiTheme="minorHAnsi" w:hAnsiTheme="minorHAnsi" w:cstheme="minorHAnsi"/>
                <w:sz w:val="22"/>
                <w:szCs w:val="22"/>
              </w:rPr>
              <w:t xml:space="preserve">s that has a </w:t>
            </w:r>
            <w:r w:rsidR="00FB723B">
              <w:rPr>
                <w:rFonts w:asciiTheme="minorHAnsi" w:hAnsiTheme="minorHAnsi" w:cstheme="minorHAnsi"/>
                <w:sz w:val="22"/>
                <w:szCs w:val="22"/>
              </w:rPr>
              <w:t xml:space="preserve">short-term </w:t>
            </w:r>
            <w:r w:rsidR="00C92A86">
              <w:rPr>
                <w:rFonts w:asciiTheme="minorHAnsi" w:hAnsiTheme="minorHAnsi" w:cstheme="minorHAnsi"/>
                <w:sz w:val="22"/>
                <w:szCs w:val="22"/>
              </w:rPr>
              <w:t xml:space="preserve">trend with lower and upper </w:t>
            </w:r>
            <w:r w:rsidR="00C92A86" w:rsidRPr="00337DE3">
              <w:rPr>
                <w:rFonts w:asciiTheme="minorHAnsi" w:hAnsiTheme="minorHAnsi" w:cstheme="minorHAnsi"/>
                <w:sz w:val="22"/>
                <w:szCs w:val="22"/>
              </w:rPr>
              <w:t xml:space="preserve">95 % confidence limits </w:t>
            </w:r>
            <w:r w:rsidR="009A04EF">
              <w:rPr>
                <w:rFonts w:asciiTheme="minorHAnsi" w:hAnsiTheme="minorHAnsi" w:cstheme="minorHAnsi"/>
                <w:sz w:val="22"/>
                <w:szCs w:val="22"/>
              </w:rPr>
              <w:t>of -53</w:t>
            </w:r>
            <w:r w:rsidR="00C92A86">
              <w:rPr>
                <w:rFonts w:asciiTheme="minorHAnsi" w:hAnsiTheme="minorHAnsi" w:cstheme="minorHAnsi"/>
                <w:sz w:val="22"/>
                <w:szCs w:val="22"/>
              </w:rPr>
              <w:t xml:space="preserve"> % </w:t>
            </w:r>
            <w:r w:rsidR="00F644E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2D314B">
              <w:rPr>
                <w:rFonts w:asciiTheme="minorHAnsi" w:hAnsiTheme="minorHAnsi" w:cstheme="minorHAnsi"/>
                <w:sz w:val="22"/>
                <w:szCs w:val="22"/>
              </w:rPr>
              <w:t xml:space="preserve">i.e. </w:t>
            </w:r>
            <w:r w:rsidR="0011300C">
              <w:rPr>
                <w:rFonts w:asciiTheme="minorHAnsi" w:hAnsiTheme="minorHAnsi" w:cstheme="minorHAnsi"/>
                <w:sz w:val="22"/>
                <w:szCs w:val="22"/>
              </w:rPr>
              <w:t>equivalent to a multiplicative trend of &lt;0.95</w:t>
            </w:r>
            <w:r w:rsidR="00FB723B">
              <w:rPr>
                <w:rFonts w:asciiTheme="minorHAnsi" w:hAnsiTheme="minorHAnsi" w:cstheme="minorHAnsi"/>
                <w:sz w:val="22"/>
                <w:szCs w:val="22"/>
              </w:rPr>
              <w:t xml:space="preserve"> per year</w:t>
            </w:r>
            <w:r w:rsidR="00277C5D">
              <w:rPr>
                <w:rFonts w:asciiTheme="minorHAnsi" w:hAnsiTheme="minorHAnsi" w:cstheme="minorHAnsi"/>
                <w:sz w:val="22"/>
                <w:szCs w:val="22"/>
              </w:rPr>
              <w:t>; see footnote 1</w:t>
            </w:r>
            <w:r w:rsidR="0011300C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C92A86">
              <w:rPr>
                <w:rFonts w:asciiTheme="minorHAnsi" w:hAnsiTheme="minorHAnsi" w:cstheme="minorHAnsi"/>
                <w:sz w:val="22"/>
                <w:szCs w:val="22"/>
              </w:rPr>
              <w:t>and +</w:t>
            </w:r>
            <w:r w:rsidR="009A04EF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  <w:r w:rsidR="00C92A86">
              <w:rPr>
                <w:rFonts w:asciiTheme="minorHAnsi" w:hAnsiTheme="minorHAnsi" w:cstheme="minorHAnsi"/>
                <w:sz w:val="22"/>
                <w:szCs w:val="22"/>
              </w:rPr>
              <w:t xml:space="preserve"> % </w:t>
            </w:r>
            <w:r w:rsidR="0011300C">
              <w:rPr>
                <w:rFonts w:asciiTheme="minorHAnsi" w:hAnsiTheme="minorHAnsi" w:cstheme="minorHAnsi"/>
                <w:sz w:val="22"/>
                <w:szCs w:val="22"/>
              </w:rPr>
              <w:t xml:space="preserve">respectively </w:t>
            </w:r>
            <w:r w:rsidR="00C92A86">
              <w:rPr>
                <w:rFonts w:asciiTheme="minorHAnsi" w:hAnsiTheme="minorHAnsi" w:cstheme="minorHAnsi"/>
                <w:sz w:val="22"/>
                <w:szCs w:val="22"/>
              </w:rPr>
              <w:t xml:space="preserve">over the relevant trend period, </w:t>
            </w:r>
            <w:r w:rsidR="00C92A86" w:rsidRPr="00337DE3">
              <w:rPr>
                <w:rFonts w:asciiTheme="minorHAnsi" w:hAnsiTheme="minorHAnsi" w:cstheme="minorHAnsi"/>
                <w:sz w:val="22"/>
                <w:szCs w:val="22"/>
              </w:rPr>
              <w:t>the trend direction should be reported as ‘</w:t>
            </w:r>
            <w:r w:rsidR="00C92A86">
              <w:rPr>
                <w:rFonts w:asciiTheme="minorHAnsi" w:hAnsiTheme="minorHAnsi" w:cstheme="minorHAnsi"/>
                <w:sz w:val="22"/>
                <w:szCs w:val="22"/>
              </w:rPr>
              <w:t>uncertain</w:t>
            </w:r>
            <w:r w:rsidR="00C92A86" w:rsidRPr="00337DE3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C92A86">
              <w:rPr>
                <w:rFonts w:asciiTheme="minorHAnsi" w:hAnsiTheme="minorHAnsi" w:cstheme="minorHAnsi"/>
                <w:sz w:val="22"/>
                <w:szCs w:val="22"/>
              </w:rPr>
              <w:t xml:space="preserve">, the minimum trend magnitude as </w:t>
            </w:r>
            <w:r w:rsidR="009A04EF">
              <w:rPr>
                <w:rFonts w:asciiTheme="minorHAnsi" w:hAnsiTheme="minorHAnsi" w:cstheme="minorHAnsi"/>
                <w:sz w:val="22"/>
                <w:szCs w:val="22"/>
              </w:rPr>
              <w:t>‘-53</w:t>
            </w:r>
            <w:r w:rsidR="0011300C">
              <w:rPr>
                <w:rFonts w:asciiTheme="minorHAnsi" w:hAnsiTheme="minorHAnsi" w:cstheme="minorHAnsi"/>
                <w:sz w:val="22"/>
                <w:szCs w:val="22"/>
              </w:rPr>
              <w:t>’ and</w:t>
            </w:r>
            <w:r w:rsidR="00C92A86">
              <w:rPr>
                <w:rFonts w:asciiTheme="minorHAnsi" w:hAnsiTheme="minorHAnsi" w:cstheme="minorHAnsi"/>
                <w:sz w:val="22"/>
                <w:szCs w:val="22"/>
              </w:rPr>
              <w:t xml:space="preserve"> the maximum </w:t>
            </w:r>
            <w:r w:rsidR="0011300C">
              <w:rPr>
                <w:rFonts w:asciiTheme="minorHAnsi" w:hAnsiTheme="minorHAnsi" w:cstheme="minorHAnsi"/>
                <w:sz w:val="22"/>
                <w:szCs w:val="22"/>
              </w:rPr>
              <w:t xml:space="preserve">trend magnitude </w:t>
            </w:r>
            <w:r w:rsidR="00C92A86">
              <w:rPr>
                <w:rFonts w:asciiTheme="minorHAnsi" w:hAnsiTheme="minorHAnsi" w:cstheme="minorHAnsi"/>
                <w:sz w:val="22"/>
                <w:szCs w:val="22"/>
              </w:rPr>
              <w:t>as ‘</w:t>
            </w:r>
            <w:r w:rsidR="009A04EF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  <w:r w:rsidR="00C92A86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1130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880875" w:rsidRPr="003256A4" w:rsidRDefault="00880875" w:rsidP="003256A4">
      <w:pPr>
        <w:spacing w:before="180" w:after="60"/>
        <w:rPr>
          <w:rFonts w:ascii="Calibri" w:hAnsi="Calibri" w:cs="Times New Roman"/>
          <w:b/>
          <w:color w:val="365F91" w:themeColor="accent1" w:themeShade="BF"/>
          <w:szCs w:val="22"/>
        </w:rPr>
      </w:pPr>
      <w:r w:rsidRPr="003256A4">
        <w:rPr>
          <w:rFonts w:ascii="Calibri" w:hAnsi="Calibri" w:cs="Times New Roman"/>
          <w:b/>
          <w:color w:val="365F91" w:themeColor="accent1" w:themeShade="BF"/>
          <w:szCs w:val="22"/>
        </w:rPr>
        <w:t xml:space="preserve">Reporting </w:t>
      </w:r>
      <w:r w:rsidR="0011300C">
        <w:rPr>
          <w:rFonts w:ascii="Calibri" w:hAnsi="Calibri" w:cs="Times New Roman"/>
          <w:b/>
          <w:color w:val="365F91" w:themeColor="accent1" w:themeShade="BF"/>
          <w:szCs w:val="22"/>
        </w:rPr>
        <w:t>magnitudes for ‘stable’</w:t>
      </w:r>
      <w:r w:rsidRPr="003256A4">
        <w:rPr>
          <w:rFonts w:ascii="Calibri" w:hAnsi="Calibri" w:cs="Times New Roman"/>
          <w:b/>
          <w:color w:val="365F91" w:themeColor="accent1" w:themeShade="BF"/>
          <w:szCs w:val="22"/>
        </w:rPr>
        <w:t xml:space="preserve"> trends</w:t>
      </w:r>
    </w:p>
    <w:p w:rsidR="007B11CF" w:rsidRDefault="00C605D5" w:rsidP="006314A6">
      <w:pPr>
        <w:spacing w:before="60" w:afterLines="60" w:after="144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C605D5">
        <w:rPr>
          <w:rFonts w:ascii="Calibri" w:eastAsia="Times New Roman" w:hAnsi="Calibri" w:cs="Times New Roman"/>
          <w:sz w:val="22"/>
          <w:szCs w:val="22"/>
          <w:lang w:eastAsia="en-GB"/>
        </w:rPr>
        <w:t xml:space="preserve">Similar to ‘uncertain’ trends, minimum and maximum trend magnitudes for 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t xml:space="preserve">‘stable’ trends </w:t>
      </w:r>
      <w:r w:rsidR="006324C5">
        <w:rPr>
          <w:rFonts w:ascii="Calibri" w:eastAsia="Times New Roman" w:hAnsi="Calibri" w:cs="Times New Roman"/>
          <w:sz w:val="22"/>
          <w:szCs w:val="22"/>
          <w:lang w:eastAsia="en-GB"/>
        </w:rPr>
        <w:t>will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t xml:space="preserve"> span zero. In </w:t>
      </w:r>
      <w:r w:rsidRPr="00C605D5">
        <w:rPr>
          <w:rFonts w:ascii="Calibri" w:eastAsia="Times New Roman" w:hAnsi="Calibri" w:cs="Times New Roman"/>
          <w:sz w:val="22"/>
          <w:szCs w:val="22"/>
          <w:lang w:eastAsia="en-GB"/>
        </w:rPr>
        <w:t xml:space="preserve">the case of </w:t>
      </w:r>
      <w:r w:rsidR="007B11CF" w:rsidRPr="00C605D5">
        <w:rPr>
          <w:rFonts w:ascii="Calibri" w:eastAsia="Times New Roman" w:hAnsi="Calibri" w:cs="Times New Roman"/>
          <w:sz w:val="22"/>
          <w:szCs w:val="22"/>
          <w:lang w:eastAsia="en-GB"/>
        </w:rPr>
        <w:t>trends derived from a statist</w:t>
      </w:r>
      <w:r w:rsidRPr="00C605D5">
        <w:rPr>
          <w:rFonts w:ascii="Calibri" w:eastAsia="Times New Roman" w:hAnsi="Calibri" w:cs="Times New Roman"/>
          <w:sz w:val="22"/>
          <w:szCs w:val="22"/>
          <w:lang w:eastAsia="en-GB"/>
        </w:rPr>
        <w:t xml:space="preserve">ically robust monitoring scheme, for example, 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t xml:space="preserve">the </w:t>
      </w:r>
      <w:r w:rsidR="007B11CF" w:rsidRPr="00C605D5">
        <w:rPr>
          <w:rFonts w:ascii="Calibri" w:eastAsia="Times New Roman" w:hAnsi="Calibri" w:cs="Times New Roman"/>
          <w:sz w:val="22"/>
          <w:szCs w:val="22"/>
          <w:lang w:eastAsia="en-GB"/>
        </w:rPr>
        <w:t>lower 95</w:t>
      </w:r>
      <w:r w:rsidRPr="00C605D5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  <w:r w:rsidR="007B11CF" w:rsidRPr="00C605D5">
        <w:rPr>
          <w:rFonts w:ascii="Calibri" w:eastAsia="Times New Roman" w:hAnsi="Calibri" w:cs="Times New Roman"/>
          <w:sz w:val="22"/>
          <w:szCs w:val="22"/>
          <w:lang w:eastAsia="en-GB"/>
        </w:rPr>
        <w:t xml:space="preserve">% 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t>confidence limit</w:t>
      </w:r>
      <w:r w:rsidRPr="00C605D5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will be negative and 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t xml:space="preserve">the </w:t>
      </w:r>
      <w:r w:rsidR="007B11CF" w:rsidRPr="00C605D5">
        <w:rPr>
          <w:rFonts w:ascii="Calibri" w:eastAsia="Times New Roman" w:hAnsi="Calibri" w:cs="Times New Roman"/>
          <w:sz w:val="22"/>
          <w:szCs w:val="22"/>
          <w:lang w:eastAsia="en-GB"/>
        </w:rPr>
        <w:t xml:space="preserve">upper </w:t>
      </w:r>
      <w:r w:rsidR="006324C5">
        <w:rPr>
          <w:rFonts w:ascii="Calibri" w:eastAsia="Times New Roman" w:hAnsi="Calibri" w:cs="Times New Roman"/>
          <w:sz w:val="22"/>
          <w:szCs w:val="22"/>
          <w:lang w:eastAsia="en-GB"/>
        </w:rPr>
        <w:t>limit</w:t>
      </w:r>
      <w:r w:rsidR="009A3E1C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  <w:r w:rsidRPr="00C605D5">
        <w:rPr>
          <w:rFonts w:ascii="Calibri" w:eastAsia="Times New Roman" w:hAnsi="Calibri" w:cs="Times New Roman"/>
          <w:sz w:val="22"/>
          <w:szCs w:val="22"/>
          <w:lang w:eastAsia="en-GB"/>
        </w:rPr>
        <w:t>will be positive</w:t>
      </w:r>
      <w:r w:rsidR="007B11CF" w:rsidRPr="00C605D5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(</w:t>
      </w:r>
      <w:r w:rsidR="005677DB">
        <w:rPr>
          <w:rFonts w:ascii="Calibri" w:eastAsia="Times New Roman" w:hAnsi="Calibri" w:cs="Times New Roman"/>
          <w:sz w:val="22"/>
          <w:szCs w:val="22"/>
          <w:lang w:eastAsia="en-GB"/>
        </w:rPr>
        <w:t>with</w:t>
      </w:r>
      <w:r w:rsidRPr="00C605D5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the two </w:t>
      </w:r>
      <w:r w:rsidR="00277C5D">
        <w:rPr>
          <w:rFonts w:ascii="Calibri" w:eastAsia="Times New Roman" w:hAnsi="Calibri" w:cs="Times New Roman"/>
          <w:sz w:val="22"/>
          <w:szCs w:val="22"/>
          <w:lang w:eastAsia="en-GB"/>
        </w:rPr>
        <w:t xml:space="preserve">also </w:t>
      </w:r>
      <w:r w:rsidRPr="00C605D5">
        <w:rPr>
          <w:rFonts w:ascii="Calibri" w:eastAsia="Times New Roman" w:hAnsi="Calibri" w:cs="Times New Roman"/>
          <w:sz w:val="22"/>
          <w:szCs w:val="22"/>
          <w:lang w:eastAsia="en-GB"/>
        </w:rPr>
        <w:t xml:space="preserve">sufficiently </w:t>
      </w:r>
      <w:r w:rsidRPr="005677DB">
        <w:rPr>
          <w:rFonts w:ascii="Calibri" w:eastAsia="Times New Roman" w:hAnsi="Calibri" w:cs="Times New Roman"/>
          <w:sz w:val="22"/>
          <w:szCs w:val="22"/>
          <w:lang w:eastAsia="en-GB"/>
        </w:rPr>
        <w:t>close to zero for the</w:t>
      </w:r>
      <w:r w:rsidR="009A3E1C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trend</w:t>
      </w:r>
      <w:r w:rsidRPr="005677D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direction </w:t>
      </w:r>
      <w:r w:rsidR="005677DB" w:rsidRPr="005677D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to </w:t>
      </w:r>
      <w:r w:rsidR="007B11CF" w:rsidRPr="005677D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be considered </w:t>
      </w:r>
      <w:r w:rsidR="005677DB" w:rsidRPr="005677DB">
        <w:rPr>
          <w:rFonts w:ascii="Calibri" w:eastAsia="Times New Roman" w:hAnsi="Calibri" w:cs="Times New Roman"/>
          <w:sz w:val="22"/>
          <w:szCs w:val="22"/>
          <w:lang w:eastAsia="en-GB"/>
        </w:rPr>
        <w:t>‘stable’</w:t>
      </w:r>
      <w:r w:rsidR="005677DB">
        <w:rPr>
          <w:rFonts w:ascii="Calibri" w:eastAsia="Times New Roman" w:hAnsi="Calibri" w:cs="Times New Roman"/>
          <w:sz w:val="22"/>
          <w:szCs w:val="22"/>
          <w:lang w:eastAsia="en-GB"/>
        </w:rPr>
        <w:t>,</w:t>
      </w:r>
      <w:r w:rsidR="005677DB" w:rsidRPr="005677D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ra</w:t>
      </w:r>
      <w:r w:rsidR="006324C5">
        <w:rPr>
          <w:rFonts w:ascii="Calibri" w:eastAsia="Times New Roman" w:hAnsi="Calibri" w:cs="Times New Roman"/>
          <w:sz w:val="22"/>
          <w:szCs w:val="22"/>
          <w:lang w:eastAsia="en-GB"/>
        </w:rPr>
        <w:t>ther than ‘uncertain’</w:t>
      </w:r>
      <w:r w:rsidR="007B11CF" w:rsidRPr="005677D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). </w:t>
      </w:r>
      <w:r w:rsidR="005677D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In the case of trends categorised as ‘stable’ </w:t>
      </w:r>
      <w:r w:rsidR="005677DB" w:rsidRPr="005677DB">
        <w:rPr>
          <w:rFonts w:ascii="Calibri" w:eastAsia="Times New Roman" w:hAnsi="Calibri" w:cs="Times New Roman"/>
          <w:sz w:val="22"/>
          <w:szCs w:val="22"/>
          <w:lang w:eastAsia="en-GB"/>
        </w:rPr>
        <w:t>based on less rob</w:t>
      </w:r>
      <w:r w:rsidR="005677DB">
        <w:rPr>
          <w:rFonts w:ascii="Calibri" w:eastAsia="Times New Roman" w:hAnsi="Calibri" w:cs="Times New Roman"/>
          <w:sz w:val="22"/>
          <w:szCs w:val="22"/>
          <w:lang w:eastAsia="en-GB"/>
        </w:rPr>
        <w:t>ust data and/or expert opinion</w:t>
      </w:r>
      <w:r w:rsidR="005677DB" w:rsidRPr="005677D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, </w:t>
      </w:r>
      <w:r w:rsidR="005677D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the entries for minimum and maximum trend magnitude </w:t>
      </w:r>
      <w:r w:rsidR="006324C5">
        <w:rPr>
          <w:rFonts w:ascii="Calibri" w:eastAsia="Times New Roman" w:hAnsi="Calibri" w:cs="Times New Roman"/>
          <w:sz w:val="22"/>
          <w:szCs w:val="22"/>
          <w:lang w:eastAsia="en-GB"/>
        </w:rPr>
        <w:t>should</w:t>
      </w:r>
      <w:r w:rsidR="005677D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be the negative and positive </w:t>
      </w:r>
      <w:r w:rsidR="009A3E1C">
        <w:rPr>
          <w:rFonts w:ascii="Calibri" w:eastAsia="Times New Roman" w:hAnsi="Calibri" w:cs="Times New Roman"/>
          <w:sz w:val="22"/>
          <w:szCs w:val="22"/>
          <w:lang w:eastAsia="en-GB"/>
        </w:rPr>
        <w:t xml:space="preserve">equivalents of </w:t>
      </w:r>
      <w:r w:rsidR="005677DB">
        <w:rPr>
          <w:rFonts w:ascii="Calibri" w:eastAsia="Times New Roman" w:hAnsi="Calibri" w:cs="Times New Roman"/>
          <w:sz w:val="22"/>
          <w:szCs w:val="22"/>
          <w:lang w:eastAsia="en-GB"/>
        </w:rPr>
        <w:t>the</w:t>
      </w:r>
      <w:r w:rsidR="005677DB" w:rsidRPr="005677D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threshold used to distinguish </w:t>
      </w:r>
      <w:r w:rsidR="0070588C">
        <w:rPr>
          <w:rFonts w:ascii="Calibri" w:eastAsia="Times New Roman" w:hAnsi="Calibri" w:cs="Times New Roman"/>
          <w:sz w:val="22"/>
          <w:szCs w:val="22"/>
          <w:lang w:eastAsia="en-GB"/>
        </w:rPr>
        <w:t xml:space="preserve">‘stable’ </w:t>
      </w:r>
      <w:r w:rsidR="00277C5D">
        <w:rPr>
          <w:rFonts w:ascii="Calibri" w:eastAsia="Times New Roman" w:hAnsi="Calibri" w:cs="Times New Roman"/>
          <w:sz w:val="22"/>
          <w:szCs w:val="22"/>
          <w:lang w:eastAsia="en-GB"/>
        </w:rPr>
        <w:t xml:space="preserve">from ‘increasing’ or </w:t>
      </w:r>
      <w:r w:rsidR="005677DB" w:rsidRPr="005677D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‘decreasing’ trends </w:t>
      </w:r>
      <w:r w:rsidR="0070588C">
        <w:rPr>
          <w:rFonts w:ascii="Calibri" w:eastAsia="Times New Roman" w:hAnsi="Calibri" w:cs="Times New Roman"/>
          <w:sz w:val="22"/>
          <w:szCs w:val="22"/>
          <w:lang w:eastAsia="en-GB"/>
        </w:rPr>
        <w:t>(e.g. an overall change of &lt;2</w:t>
      </w:r>
      <w:r w:rsidR="005677DB" w:rsidRPr="005677DB">
        <w:rPr>
          <w:rFonts w:ascii="Calibri" w:eastAsia="Times New Roman" w:hAnsi="Calibri" w:cs="Times New Roman"/>
          <w:sz w:val="22"/>
          <w:szCs w:val="22"/>
          <w:lang w:eastAsia="en-GB"/>
        </w:rPr>
        <w:t>0</w:t>
      </w:r>
      <w:r w:rsidR="0070588C">
        <w:rPr>
          <w:rFonts w:ascii="Calibri" w:eastAsia="Times New Roman" w:hAnsi="Calibri" w:cs="Times New Roman"/>
          <w:sz w:val="22"/>
          <w:szCs w:val="22"/>
          <w:lang w:eastAsia="en-GB"/>
        </w:rPr>
        <w:t xml:space="preserve">% for long-term </w:t>
      </w:r>
      <w:r w:rsidR="0070588C" w:rsidRPr="0070588C">
        <w:rPr>
          <w:rFonts w:ascii="Calibri" w:eastAsia="Times New Roman" w:hAnsi="Calibri" w:cs="Times New Roman"/>
          <w:sz w:val="22"/>
          <w:szCs w:val="22"/>
          <w:lang w:eastAsia="en-GB"/>
        </w:rPr>
        <w:t>trends; see p.59 of the guidelines). Examples f</w:t>
      </w:r>
      <w:r w:rsidR="0070588C">
        <w:rPr>
          <w:rFonts w:ascii="Calibri" w:eastAsia="Times New Roman" w:hAnsi="Calibri" w:cs="Times New Roman"/>
          <w:sz w:val="22"/>
          <w:szCs w:val="22"/>
          <w:lang w:eastAsia="en-GB"/>
        </w:rPr>
        <w:t>or both these types of scenario</w:t>
      </w:r>
      <w:r w:rsidR="0070588C" w:rsidRPr="0070588C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are provided </w:t>
      </w:r>
      <w:r w:rsidR="0070588C" w:rsidRPr="0070588C">
        <w:rPr>
          <w:rFonts w:ascii="Calibri" w:hAnsi="Calibri" w:cs="Times New Roman"/>
          <w:sz w:val="22"/>
          <w:szCs w:val="22"/>
        </w:rPr>
        <w:t xml:space="preserve">in </w:t>
      </w:r>
      <w:r w:rsidR="00700337" w:rsidRPr="0070588C">
        <w:rPr>
          <w:rFonts w:ascii="Calibri" w:hAnsi="Calibri" w:cs="Times New Roman"/>
          <w:sz w:val="22"/>
          <w:szCs w:val="22"/>
        </w:rPr>
        <w:t>Box 3 below.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F7ACF" w:rsidRPr="00584BDD" w:rsidTr="00186923">
        <w:trPr>
          <w:trHeight w:val="697"/>
          <w:jc w:val="center"/>
        </w:trPr>
        <w:tc>
          <w:tcPr>
            <w:tcW w:w="9072" w:type="dxa"/>
          </w:tcPr>
          <w:p w:rsidR="00DF7ACF" w:rsidRPr="00DF7ACF" w:rsidRDefault="00DF7ACF" w:rsidP="0018692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7A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Box </w:t>
            </w:r>
            <w:r w:rsidR="00816B8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DF7A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F644E2">
              <w:rPr>
                <w:rFonts w:asciiTheme="minorHAnsi" w:hAnsiTheme="minorHAnsi" w:cstheme="minorHAnsi"/>
                <w:b/>
                <w:sz w:val="22"/>
                <w:szCs w:val="22"/>
              </w:rPr>
              <w:t>Examples of trend-magnitude reporting for ‘stable’ trends</w:t>
            </w:r>
          </w:p>
          <w:p w:rsidR="00DF7ACF" w:rsidRPr="009A3E1C" w:rsidRDefault="0070588C" w:rsidP="009A3E1C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the case of a species with an estimated trend of -4</w:t>
            </w:r>
            <w:r w:rsidRPr="00337DE3">
              <w:rPr>
                <w:rFonts w:asciiTheme="minorHAnsi" w:hAnsiTheme="minorHAnsi" w:cstheme="minorHAnsi"/>
                <w:sz w:val="22"/>
                <w:szCs w:val="22"/>
              </w:rPr>
              <w:t xml:space="preserve"> %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over the relevant trend period,</w:t>
            </w:r>
            <w:r w:rsidRPr="00337D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Pr="00337DE3">
              <w:rPr>
                <w:rFonts w:asciiTheme="minorHAnsi" w:hAnsiTheme="minorHAnsi" w:cstheme="minorHAnsi"/>
                <w:sz w:val="22"/>
                <w:szCs w:val="22"/>
              </w:rPr>
              <w:t xml:space="preserve">95 % confidence limits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 -11 % and +4 % (i.e. </w:t>
            </w:r>
            <w:r w:rsidR="009A3E1C">
              <w:rPr>
                <w:rFonts w:asciiTheme="minorHAnsi" w:hAnsiTheme="minorHAnsi" w:cstheme="minorHAnsi"/>
                <w:sz w:val="22"/>
                <w:szCs w:val="22"/>
              </w:rPr>
              <w:t>spanning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zero</w:t>
            </w:r>
            <w:r w:rsidR="009A3E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337DE3">
              <w:rPr>
                <w:rFonts w:asciiTheme="minorHAnsi" w:hAnsiTheme="minorHAnsi" w:cstheme="minorHAnsi"/>
                <w:sz w:val="22"/>
                <w:szCs w:val="22"/>
              </w:rPr>
              <w:t xml:space="preserve">, the trend direction should be reported as </w:t>
            </w:r>
            <w:r w:rsidRPr="009A3E1C">
              <w:rPr>
                <w:rFonts w:asciiTheme="minorHAnsi" w:hAnsiTheme="minorHAnsi" w:cstheme="minorHAnsi"/>
                <w:sz w:val="22"/>
                <w:szCs w:val="22"/>
              </w:rPr>
              <w:t>‘</w:t>
            </w:r>
            <w:r w:rsidR="009A3E1C" w:rsidRPr="009A3E1C">
              <w:rPr>
                <w:rFonts w:asciiTheme="minorHAnsi" w:hAnsiTheme="minorHAnsi" w:cstheme="minorHAnsi"/>
                <w:sz w:val="22"/>
                <w:szCs w:val="22"/>
              </w:rPr>
              <w:t>stable</w:t>
            </w:r>
            <w:r w:rsidRPr="009A3E1C">
              <w:rPr>
                <w:rFonts w:asciiTheme="minorHAnsi" w:hAnsiTheme="minorHAnsi" w:cstheme="minorHAnsi"/>
                <w:sz w:val="22"/>
                <w:szCs w:val="22"/>
              </w:rPr>
              <w:t>’, the minimum</w:t>
            </w:r>
            <w:r w:rsidR="009E40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3E1C">
              <w:rPr>
                <w:rFonts w:asciiTheme="minorHAnsi" w:hAnsiTheme="minorHAnsi" w:cstheme="minorHAnsi"/>
                <w:sz w:val="22"/>
                <w:szCs w:val="22"/>
              </w:rPr>
              <w:t xml:space="preserve">magnitude as </w:t>
            </w:r>
            <w:r w:rsidR="009A3E1C" w:rsidRPr="009A3E1C">
              <w:rPr>
                <w:rFonts w:asciiTheme="minorHAnsi" w:hAnsiTheme="minorHAnsi" w:cstheme="minorHAnsi"/>
                <w:sz w:val="22"/>
                <w:szCs w:val="22"/>
              </w:rPr>
              <w:t>‘-11</w:t>
            </w:r>
            <w:r w:rsidRPr="009A3E1C">
              <w:rPr>
                <w:rFonts w:asciiTheme="minorHAnsi" w:hAnsiTheme="minorHAnsi" w:cstheme="minorHAnsi"/>
                <w:sz w:val="22"/>
                <w:szCs w:val="22"/>
              </w:rPr>
              <w:t xml:space="preserve">’, the maximum as </w:t>
            </w:r>
            <w:r w:rsidR="009A3E1C" w:rsidRPr="009A3E1C">
              <w:rPr>
                <w:rFonts w:asciiTheme="minorHAnsi" w:hAnsiTheme="minorHAnsi" w:cstheme="minorHAnsi"/>
                <w:sz w:val="22"/>
                <w:szCs w:val="22"/>
              </w:rPr>
              <w:t>‘</w:t>
            </w:r>
            <w:r w:rsidRPr="009A3E1C">
              <w:rPr>
                <w:rFonts w:asciiTheme="minorHAnsi" w:hAnsiTheme="minorHAnsi" w:cstheme="minorHAnsi"/>
                <w:sz w:val="22"/>
                <w:szCs w:val="22"/>
              </w:rPr>
              <w:t xml:space="preserve">4’ and the best single value as </w:t>
            </w:r>
            <w:r w:rsidR="009A3E1C" w:rsidRPr="009A3E1C">
              <w:rPr>
                <w:rFonts w:asciiTheme="minorHAnsi" w:hAnsiTheme="minorHAnsi" w:cstheme="minorHAnsi"/>
                <w:sz w:val="22"/>
                <w:szCs w:val="22"/>
              </w:rPr>
              <w:t>‘-4’</w:t>
            </w:r>
            <w:r w:rsidR="00DF7ACF" w:rsidRPr="009A3E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A3E1C" w:rsidRPr="00584BDD" w:rsidRDefault="009A3E1C" w:rsidP="009E40BE">
            <w:pPr>
              <w:spacing w:after="60"/>
            </w:pPr>
            <w:r w:rsidRPr="009E40BE">
              <w:rPr>
                <w:rFonts w:asciiTheme="minorHAnsi" w:hAnsiTheme="minorHAnsi" w:cstheme="minorHAnsi"/>
                <w:sz w:val="22"/>
                <w:szCs w:val="22"/>
              </w:rPr>
              <w:t>In the ca</w:t>
            </w:r>
            <w:r w:rsidR="008B50BA" w:rsidRPr="009E40BE">
              <w:rPr>
                <w:rFonts w:asciiTheme="minorHAnsi" w:hAnsiTheme="minorHAnsi" w:cstheme="minorHAnsi"/>
                <w:sz w:val="22"/>
                <w:szCs w:val="22"/>
              </w:rPr>
              <w:t xml:space="preserve">se of a species </w:t>
            </w:r>
            <w:r w:rsidR="009E40BE" w:rsidRPr="009E40BE">
              <w:rPr>
                <w:rFonts w:asciiTheme="minorHAnsi" w:hAnsiTheme="minorHAnsi" w:cstheme="minorHAnsi"/>
                <w:sz w:val="22"/>
                <w:szCs w:val="22"/>
              </w:rPr>
              <w:t>without robust monitoring data for (all of) the long-term trend period, but which is adjudged to have changed overall by less than 20 %, the trend direction should be reported as ‘stable’, the minimum magnitude as ‘-20’ and the maximum as ‘20’</w:t>
            </w:r>
            <w:r w:rsidR="009E40B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3A4E00" w:rsidRPr="003256A4" w:rsidRDefault="003A4E00" w:rsidP="003256A4">
      <w:pPr>
        <w:spacing w:before="180" w:after="60"/>
        <w:rPr>
          <w:rFonts w:ascii="Calibri" w:hAnsi="Calibri" w:cs="Times New Roman"/>
          <w:b/>
          <w:color w:val="365F91" w:themeColor="accent1" w:themeShade="BF"/>
          <w:szCs w:val="22"/>
        </w:rPr>
      </w:pPr>
      <w:r w:rsidRPr="003256A4">
        <w:rPr>
          <w:rFonts w:ascii="Calibri" w:hAnsi="Calibri" w:cs="Times New Roman"/>
          <w:b/>
          <w:color w:val="365F91" w:themeColor="accent1" w:themeShade="BF"/>
          <w:szCs w:val="22"/>
        </w:rPr>
        <w:t xml:space="preserve">Reporting </w:t>
      </w:r>
      <w:r w:rsidR="00F644E2">
        <w:rPr>
          <w:rFonts w:ascii="Calibri" w:hAnsi="Calibri" w:cs="Times New Roman"/>
          <w:b/>
          <w:color w:val="365F91" w:themeColor="accent1" w:themeShade="BF"/>
          <w:szCs w:val="22"/>
        </w:rPr>
        <w:t>magnitudes for ‘fluctuating’</w:t>
      </w:r>
      <w:r w:rsidRPr="003256A4">
        <w:rPr>
          <w:rFonts w:ascii="Calibri" w:hAnsi="Calibri" w:cs="Times New Roman"/>
          <w:b/>
          <w:color w:val="365F91" w:themeColor="accent1" w:themeShade="BF"/>
          <w:szCs w:val="22"/>
        </w:rPr>
        <w:t xml:space="preserve"> trends</w:t>
      </w:r>
    </w:p>
    <w:p w:rsidR="003A4E00" w:rsidRPr="009D0F35" w:rsidRDefault="0094059D" w:rsidP="003256A4">
      <w:pPr>
        <w:spacing w:before="60" w:afterLines="60" w:after="144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As indicated in the guidelines (pp. </w:t>
      </w:r>
      <w:r w:rsidRPr="004A64B7">
        <w:rPr>
          <w:rFonts w:ascii="Calibri" w:hAnsi="Calibri" w:cs="Times New Roman"/>
          <w:sz w:val="22"/>
          <w:szCs w:val="22"/>
        </w:rPr>
        <w:t>27 and 59–60), the trend direction category ‘fluctuating’ i</w:t>
      </w:r>
      <w:r w:rsidRPr="004A64B7">
        <w:rPr>
          <w:rFonts w:asciiTheme="minorHAnsi" w:hAnsiTheme="minorHAnsi" w:cstheme="minorHAnsi"/>
          <w:sz w:val="22"/>
          <w:szCs w:val="22"/>
        </w:rPr>
        <w:t xml:space="preserve">s intended for species </w:t>
      </w:r>
      <w:r w:rsidR="00316168">
        <w:rPr>
          <w:rFonts w:asciiTheme="minorHAnsi" w:hAnsiTheme="minorHAnsi" w:cstheme="minorHAnsi"/>
          <w:sz w:val="22"/>
          <w:szCs w:val="22"/>
        </w:rPr>
        <w:t>showing</w:t>
      </w:r>
      <w:r w:rsidRPr="004A64B7">
        <w:rPr>
          <w:rFonts w:asciiTheme="minorHAnsi" w:hAnsiTheme="minorHAnsi" w:cstheme="minorHAnsi"/>
          <w:sz w:val="22"/>
          <w:szCs w:val="22"/>
        </w:rPr>
        <w:t xml:space="preserve"> interannual </w:t>
      </w:r>
      <w:r w:rsidR="003A4E00" w:rsidRPr="004A64B7">
        <w:rPr>
          <w:rFonts w:ascii="Calibri" w:hAnsi="Calibri" w:cs="Times New Roman"/>
          <w:sz w:val="22"/>
          <w:szCs w:val="22"/>
        </w:rPr>
        <w:t>increases and decreases of ≥50%</w:t>
      </w:r>
      <w:r w:rsidRPr="004A64B7">
        <w:rPr>
          <w:rFonts w:ascii="Calibri" w:hAnsi="Calibri" w:cs="Times New Roman"/>
          <w:sz w:val="22"/>
          <w:szCs w:val="22"/>
        </w:rPr>
        <w:t xml:space="preserve">, but no significant change </w:t>
      </w:r>
      <w:r w:rsidRPr="004A64B7">
        <w:rPr>
          <w:rFonts w:asciiTheme="minorHAnsi" w:hAnsiTheme="minorHAnsi" w:cstheme="minorHAnsi"/>
          <w:sz w:val="22"/>
          <w:szCs w:val="22"/>
        </w:rPr>
        <w:t>in average population level over the trend period.</w:t>
      </w:r>
      <w:r w:rsidR="003A4E00" w:rsidRPr="004A64B7">
        <w:rPr>
          <w:rFonts w:ascii="Calibri" w:hAnsi="Calibri" w:cs="Times New Roman"/>
          <w:sz w:val="22"/>
          <w:szCs w:val="22"/>
        </w:rPr>
        <w:t xml:space="preserve"> </w:t>
      </w:r>
      <w:r w:rsidR="004A64B7">
        <w:rPr>
          <w:rFonts w:ascii="Calibri" w:eastAsia="Times New Roman" w:hAnsi="Calibri" w:cs="Times New Roman"/>
          <w:sz w:val="22"/>
          <w:szCs w:val="22"/>
          <w:lang w:eastAsia="en-GB"/>
        </w:rPr>
        <w:t>M</w:t>
      </w:r>
      <w:r w:rsidR="004A64B7" w:rsidRPr="00C605D5">
        <w:rPr>
          <w:rFonts w:ascii="Calibri" w:eastAsia="Times New Roman" w:hAnsi="Calibri" w:cs="Times New Roman"/>
          <w:sz w:val="22"/>
          <w:szCs w:val="22"/>
          <w:lang w:eastAsia="en-GB"/>
        </w:rPr>
        <w:t>inimum and maximum trend magnitude</w:t>
      </w:r>
      <w:r w:rsidR="004A64B7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value</w:t>
      </w:r>
      <w:r w:rsidR="004A64B7" w:rsidRPr="00C605D5">
        <w:rPr>
          <w:rFonts w:ascii="Calibri" w:eastAsia="Times New Roman" w:hAnsi="Calibri" w:cs="Times New Roman"/>
          <w:sz w:val="22"/>
          <w:szCs w:val="22"/>
          <w:lang w:eastAsia="en-GB"/>
        </w:rPr>
        <w:t xml:space="preserve">s for </w:t>
      </w:r>
      <w:r w:rsidR="004A64B7">
        <w:rPr>
          <w:rFonts w:ascii="Calibri" w:eastAsia="Times New Roman" w:hAnsi="Calibri" w:cs="Times New Roman"/>
          <w:sz w:val="22"/>
          <w:szCs w:val="22"/>
          <w:lang w:eastAsia="en-GB"/>
        </w:rPr>
        <w:t xml:space="preserve">‘fluctuating’ trends will </w:t>
      </w:r>
      <w:r w:rsidR="00316168">
        <w:rPr>
          <w:rFonts w:ascii="Calibri" w:eastAsia="Times New Roman" w:hAnsi="Calibri" w:cs="Times New Roman"/>
          <w:sz w:val="22"/>
          <w:szCs w:val="22"/>
          <w:lang w:eastAsia="en-GB"/>
        </w:rPr>
        <w:t xml:space="preserve">hence </w:t>
      </w:r>
      <w:r w:rsidR="004A64B7">
        <w:rPr>
          <w:rFonts w:ascii="Calibri" w:eastAsia="Times New Roman" w:hAnsi="Calibri" w:cs="Times New Roman"/>
          <w:sz w:val="22"/>
          <w:szCs w:val="22"/>
          <w:lang w:eastAsia="en-GB"/>
        </w:rPr>
        <w:t xml:space="preserve">span zero widely, </w:t>
      </w:r>
      <w:r w:rsidR="00316168">
        <w:rPr>
          <w:rFonts w:ascii="Calibri" w:eastAsia="Times New Roman" w:hAnsi="Calibri" w:cs="Times New Roman"/>
          <w:sz w:val="22"/>
          <w:szCs w:val="22"/>
          <w:lang w:eastAsia="en-GB"/>
        </w:rPr>
        <w:t>albeit</w:t>
      </w:r>
      <w:r w:rsidR="0043253C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  <w:r w:rsidR="00316168">
        <w:rPr>
          <w:rFonts w:ascii="Calibri" w:eastAsia="Times New Roman" w:hAnsi="Calibri" w:cs="Times New Roman"/>
          <w:sz w:val="22"/>
          <w:szCs w:val="22"/>
          <w:lang w:eastAsia="en-GB"/>
        </w:rPr>
        <w:t>usually</w:t>
      </w:r>
      <w:r w:rsidR="0043253C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not </w:t>
      </w:r>
      <w:r w:rsidR="004A64B7">
        <w:rPr>
          <w:rFonts w:ascii="Calibri" w:eastAsia="Times New Roman" w:hAnsi="Calibri" w:cs="Times New Roman"/>
          <w:sz w:val="22"/>
          <w:szCs w:val="22"/>
          <w:lang w:eastAsia="en-GB"/>
        </w:rPr>
        <w:t>‘</w:t>
      </w:r>
      <w:r w:rsidR="0055604A">
        <w:rPr>
          <w:rFonts w:ascii="Calibri" w:eastAsia="Times New Roman" w:hAnsi="Calibri" w:cs="Times New Roman"/>
          <w:sz w:val="22"/>
          <w:szCs w:val="22"/>
          <w:lang w:eastAsia="en-GB"/>
        </w:rPr>
        <w:t>symmetrica</w:t>
      </w:r>
      <w:r w:rsidR="004A64B7">
        <w:rPr>
          <w:rFonts w:ascii="Calibri" w:eastAsia="Times New Roman" w:hAnsi="Calibri" w:cs="Times New Roman"/>
          <w:sz w:val="22"/>
          <w:szCs w:val="22"/>
          <w:lang w:eastAsia="en-GB"/>
        </w:rPr>
        <w:t xml:space="preserve">lly’ (owing to the </w:t>
      </w:r>
      <w:r w:rsidR="0055604A">
        <w:rPr>
          <w:rFonts w:ascii="Calibri" w:eastAsia="Times New Roman" w:hAnsi="Calibri" w:cs="Times New Roman"/>
          <w:sz w:val="22"/>
          <w:szCs w:val="22"/>
          <w:lang w:eastAsia="en-GB"/>
        </w:rPr>
        <w:t xml:space="preserve">skewed </w:t>
      </w:r>
      <w:r w:rsidR="00316168">
        <w:rPr>
          <w:rFonts w:ascii="Calibri" w:eastAsia="Times New Roman" w:hAnsi="Calibri" w:cs="Times New Roman"/>
          <w:sz w:val="22"/>
          <w:szCs w:val="22"/>
          <w:lang w:eastAsia="en-GB"/>
        </w:rPr>
        <w:t>nature</w:t>
      </w:r>
      <w:r w:rsidR="004A64B7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of </w:t>
      </w:r>
      <w:r w:rsidR="0055604A">
        <w:rPr>
          <w:rFonts w:ascii="Calibri" w:eastAsia="Times New Roman" w:hAnsi="Calibri" w:cs="Times New Roman"/>
          <w:sz w:val="22"/>
          <w:szCs w:val="22"/>
          <w:lang w:eastAsia="en-GB"/>
        </w:rPr>
        <w:t xml:space="preserve">percentage </w:t>
      </w:r>
      <w:r w:rsidR="00316168">
        <w:rPr>
          <w:rFonts w:ascii="Calibri" w:eastAsia="Times New Roman" w:hAnsi="Calibri" w:cs="Times New Roman"/>
          <w:sz w:val="22"/>
          <w:szCs w:val="22"/>
          <w:lang w:eastAsia="en-GB"/>
        </w:rPr>
        <w:t>increases/decreases</w:t>
      </w:r>
      <w:r w:rsidR="0055604A">
        <w:rPr>
          <w:rFonts w:ascii="Calibri" w:eastAsia="Times New Roman" w:hAnsi="Calibri" w:cs="Times New Roman"/>
          <w:sz w:val="22"/>
          <w:szCs w:val="22"/>
          <w:lang w:eastAsia="en-GB"/>
        </w:rPr>
        <w:t>)</w:t>
      </w:r>
      <w:r w:rsidR="004A64B7">
        <w:rPr>
          <w:rFonts w:ascii="Calibri" w:eastAsia="Times New Roman" w:hAnsi="Calibri" w:cs="Times New Roman"/>
          <w:sz w:val="22"/>
          <w:szCs w:val="22"/>
          <w:lang w:eastAsia="en-GB"/>
        </w:rPr>
        <w:t>.</w:t>
      </w:r>
      <w:r w:rsidR="0055604A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  <w:r w:rsidR="0043253C">
        <w:rPr>
          <w:rFonts w:ascii="Calibri" w:eastAsia="Times New Roman" w:hAnsi="Calibri" w:cs="Times New Roman"/>
          <w:sz w:val="22"/>
          <w:szCs w:val="22"/>
          <w:lang w:eastAsia="en-GB"/>
        </w:rPr>
        <w:t xml:space="preserve">The definition of the </w:t>
      </w:r>
      <w:r w:rsidR="00316168">
        <w:rPr>
          <w:rFonts w:ascii="Calibri" w:eastAsia="Times New Roman" w:hAnsi="Calibri" w:cs="Times New Roman"/>
          <w:sz w:val="22"/>
          <w:szCs w:val="22"/>
          <w:lang w:eastAsia="en-GB"/>
        </w:rPr>
        <w:t xml:space="preserve">‘fluctuating’ </w:t>
      </w:r>
      <w:r w:rsidR="0043253C">
        <w:rPr>
          <w:rFonts w:ascii="Calibri" w:eastAsia="Times New Roman" w:hAnsi="Calibri" w:cs="Times New Roman"/>
          <w:sz w:val="22"/>
          <w:szCs w:val="22"/>
          <w:lang w:eastAsia="en-GB"/>
        </w:rPr>
        <w:t xml:space="preserve">category means that </w:t>
      </w:r>
      <w:r w:rsidR="00BA0B5A">
        <w:rPr>
          <w:rFonts w:ascii="Calibri" w:eastAsia="Times New Roman" w:hAnsi="Calibri" w:cs="Times New Roman"/>
          <w:sz w:val="22"/>
          <w:szCs w:val="22"/>
          <w:lang w:eastAsia="en-GB"/>
        </w:rPr>
        <w:t>the best single value – which may not be available in practice – is assumed to be zero (i.e. no net change over the relevant trend period).</w:t>
      </w:r>
      <w:r w:rsidR="00BA0B5A" w:rsidRPr="00DF7ACF">
        <w:rPr>
          <w:rFonts w:ascii="Calibri" w:hAnsi="Calibri" w:cs="Times New Roman"/>
          <w:sz w:val="22"/>
          <w:szCs w:val="22"/>
        </w:rPr>
        <w:t xml:space="preserve"> </w:t>
      </w:r>
      <w:r w:rsidR="00BA0B5A">
        <w:rPr>
          <w:rFonts w:ascii="Calibri" w:hAnsi="Calibri" w:cs="Times New Roman"/>
          <w:sz w:val="22"/>
          <w:szCs w:val="22"/>
        </w:rPr>
        <w:t xml:space="preserve">If a best single value is calculable and is </w:t>
      </w:r>
      <w:r w:rsidR="00316168">
        <w:rPr>
          <w:rFonts w:ascii="Calibri" w:hAnsi="Calibri" w:cs="Times New Roman"/>
          <w:sz w:val="22"/>
          <w:szCs w:val="22"/>
        </w:rPr>
        <w:t>larg</w:t>
      </w:r>
      <w:r w:rsidR="00BA0B5A">
        <w:rPr>
          <w:rFonts w:ascii="Calibri" w:hAnsi="Calibri" w:cs="Times New Roman"/>
          <w:sz w:val="22"/>
          <w:szCs w:val="22"/>
        </w:rPr>
        <w:t xml:space="preserve">er than the threshold used elsewhere for ‘increasing’ or ‘decreasing’ trends, the trend direction should be reported as such </w:t>
      </w:r>
      <w:r w:rsidR="00316168">
        <w:rPr>
          <w:rFonts w:ascii="Calibri" w:hAnsi="Calibri" w:cs="Times New Roman"/>
          <w:sz w:val="22"/>
          <w:szCs w:val="22"/>
        </w:rPr>
        <w:t xml:space="preserve">instead </w:t>
      </w:r>
      <w:r w:rsidR="00BA0B5A">
        <w:rPr>
          <w:rFonts w:ascii="Calibri" w:hAnsi="Calibri" w:cs="Times New Roman"/>
          <w:sz w:val="22"/>
          <w:szCs w:val="22"/>
        </w:rPr>
        <w:t>(even if this net increase/decrease is ‘overlaid’ with marked fluctuations). S</w:t>
      </w:r>
      <w:r w:rsidR="00700337" w:rsidRPr="00DF7ACF">
        <w:rPr>
          <w:rFonts w:ascii="Calibri" w:hAnsi="Calibri" w:cs="Times New Roman"/>
          <w:sz w:val="22"/>
          <w:szCs w:val="22"/>
        </w:rPr>
        <w:t xml:space="preserve">ee </w:t>
      </w:r>
      <w:r w:rsidR="00700337">
        <w:rPr>
          <w:rFonts w:ascii="Calibri" w:hAnsi="Calibri" w:cs="Times New Roman"/>
          <w:sz w:val="22"/>
          <w:szCs w:val="22"/>
        </w:rPr>
        <w:t>Box 4</w:t>
      </w:r>
      <w:r w:rsidR="00700337" w:rsidRPr="00DF7ACF">
        <w:rPr>
          <w:rFonts w:ascii="Calibri" w:hAnsi="Calibri" w:cs="Times New Roman"/>
          <w:sz w:val="22"/>
          <w:szCs w:val="22"/>
        </w:rPr>
        <w:t xml:space="preserve"> </w:t>
      </w:r>
      <w:r w:rsidR="00700337">
        <w:rPr>
          <w:rFonts w:ascii="Calibri" w:hAnsi="Calibri" w:cs="Times New Roman"/>
          <w:sz w:val="22"/>
          <w:szCs w:val="22"/>
        </w:rPr>
        <w:t>below for example</w:t>
      </w:r>
      <w:r w:rsidR="00BA0B5A">
        <w:rPr>
          <w:rFonts w:ascii="Calibri" w:hAnsi="Calibri" w:cs="Times New Roman"/>
          <w:sz w:val="22"/>
          <w:szCs w:val="22"/>
        </w:rPr>
        <w:t xml:space="preserve">s for two types of ‘fluctuating’ trend </w:t>
      </w:r>
      <w:r w:rsidR="00316168">
        <w:rPr>
          <w:rFonts w:ascii="Calibri" w:hAnsi="Calibri" w:cs="Times New Roman"/>
          <w:sz w:val="22"/>
          <w:szCs w:val="22"/>
        </w:rPr>
        <w:t>scenario</w:t>
      </w:r>
      <w:r w:rsidR="00700337" w:rsidRPr="00DF7ACF">
        <w:rPr>
          <w:rFonts w:ascii="Calibri" w:hAnsi="Calibri" w:cs="Times New Roman"/>
          <w:sz w:val="22"/>
          <w:szCs w:val="22"/>
        </w:rPr>
        <w:t>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F7ACF" w:rsidRPr="00584BDD" w:rsidTr="00186923">
        <w:trPr>
          <w:trHeight w:val="697"/>
          <w:jc w:val="center"/>
        </w:trPr>
        <w:tc>
          <w:tcPr>
            <w:tcW w:w="9072" w:type="dxa"/>
          </w:tcPr>
          <w:p w:rsidR="00DF7ACF" w:rsidRPr="00DF7ACF" w:rsidRDefault="00DF7ACF" w:rsidP="0018692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7A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Box </w:t>
            </w:r>
            <w:r w:rsidR="00816B84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DF7A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F644E2">
              <w:rPr>
                <w:rFonts w:asciiTheme="minorHAnsi" w:hAnsiTheme="minorHAnsi" w:cstheme="minorHAnsi"/>
                <w:b/>
                <w:sz w:val="22"/>
                <w:szCs w:val="22"/>
              </w:rPr>
              <w:t>Example</w:t>
            </w:r>
            <w:r w:rsidR="00BA0B5A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F644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</w:t>
            </w:r>
            <w:r w:rsidR="00BA0B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trend-magnitude reporting for</w:t>
            </w:r>
            <w:r w:rsidR="00F644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‘fluctuating’ trend</w:t>
            </w:r>
            <w:r w:rsidR="00BA0B5A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  <w:p w:rsidR="00BA0B5A" w:rsidRDefault="00316168" w:rsidP="00186923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the case of</w:t>
            </w:r>
            <w:r w:rsidR="00C82A47">
              <w:rPr>
                <w:rFonts w:asciiTheme="minorHAnsi" w:hAnsiTheme="minorHAnsi" w:cstheme="minorHAnsi"/>
                <w:sz w:val="22"/>
                <w:szCs w:val="22"/>
              </w:rPr>
              <w:t xml:space="preserve"> a species</w:t>
            </w:r>
            <w:r w:rsidR="005E11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6EA0">
              <w:rPr>
                <w:rFonts w:asciiTheme="minorHAnsi" w:hAnsiTheme="minorHAnsi" w:cstheme="minorHAnsi"/>
                <w:sz w:val="22"/>
                <w:szCs w:val="22"/>
              </w:rPr>
              <w:t xml:space="preserve">that occurs at </w:t>
            </w:r>
            <w:r w:rsidR="00DF6CE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5E1114">
              <w:rPr>
                <w:rFonts w:asciiTheme="minorHAnsi" w:hAnsiTheme="minorHAnsi" w:cstheme="minorHAnsi"/>
                <w:sz w:val="22"/>
                <w:szCs w:val="22"/>
              </w:rPr>
              <w:t>relatively consistent ‘baseline’</w:t>
            </w:r>
            <w:r w:rsidR="00CF6EA0">
              <w:rPr>
                <w:rFonts w:asciiTheme="minorHAnsi" w:hAnsiTheme="minorHAnsi" w:cstheme="minorHAnsi"/>
                <w:sz w:val="22"/>
                <w:szCs w:val="22"/>
              </w:rPr>
              <w:t xml:space="preserve"> of 5</w:t>
            </w:r>
            <w:r w:rsidR="005E111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F6EA0">
              <w:rPr>
                <w:rFonts w:asciiTheme="minorHAnsi" w:hAnsiTheme="minorHAnsi" w:cstheme="minorHAnsi"/>
                <w:sz w:val="22"/>
                <w:szCs w:val="22"/>
              </w:rPr>
              <w:t xml:space="preserve"> most years</w:t>
            </w:r>
            <w:r w:rsidR="005E1114">
              <w:rPr>
                <w:rFonts w:asciiTheme="minorHAnsi" w:hAnsiTheme="minorHAnsi" w:cstheme="minorHAnsi"/>
                <w:sz w:val="22"/>
                <w:szCs w:val="22"/>
              </w:rPr>
              <w:t xml:space="preserve">, but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r w:rsidR="005E11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6EA0">
              <w:rPr>
                <w:rFonts w:asciiTheme="minorHAnsi" w:hAnsiTheme="minorHAnsi" w:cstheme="minorHAnsi"/>
                <w:sz w:val="22"/>
                <w:szCs w:val="22"/>
              </w:rPr>
              <w:t xml:space="preserve">influxes </w:t>
            </w:r>
            <w:r w:rsidR="005E1114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DF6CE4">
              <w:rPr>
                <w:rFonts w:asciiTheme="minorHAnsi" w:hAnsiTheme="minorHAnsi" w:cstheme="minorHAnsi"/>
                <w:sz w:val="22"/>
                <w:szCs w:val="22"/>
              </w:rPr>
              <w:t>up to 30</w:t>
            </w:r>
            <w:r w:rsidR="00CF6EA0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5E1114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r w:rsidR="00CF6EA0">
              <w:rPr>
                <w:rFonts w:asciiTheme="minorHAnsi" w:hAnsiTheme="minorHAnsi" w:cstheme="minorHAnsi"/>
                <w:sz w:val="22"/>
                <w:szCs w:val="22"/>
              </w:rPr>
              <w:t xml:space="preserve">certain </w:t>
            </w:r>
            <w:r w:rsidR="005E1114">
              <w:rPr>
                <w:rFonts w:asciiTheme="minorHAnsi" w:hAnsiTheme="minorHAnsi" w:cstheme="minorHAnsi"/>
                <w:sz w:val="22"/>
                <w:szCs w:val="22"/>
              </w:rPr>
              <w:t xml:space="preserve">years, </w:t>
            </w:r>
            <w:r w:rsidR="005E1114" w:rsidRPr="009E40BE">
              <w:rPr>
                <w:rFonts w:asciiTheme="minorHAnsi" w:hAnsiTheme="minorHAnsi" w:cstheme="minorHAnsi"/>
                <w:sz w:val="22"/>
                <w:szCs w:val="22"/>
              </w:rPr>
              <w:t>the trend direction should be reported as ‘</w:t>
            </w:r>
            <w:r w:rsidR="005E1114">
              <w:rPr>
                <w:rFonts w:asciiTheme="minorHAnsi" w:hAnsiTheme="minorHAnsi" w:cstheme="minorHAnsi"/>
                <w:sz w:val="22"/>
                <w:szCs w:val="22"/>
              </w:rPr>
              <w:t>fluctuating</w:t>
            </w:r>
            <w:r w:rsidR="005E1114" w:rsidRPr="009E40BE">
              <w:rPr>
                <w:rFonts w:asciiTheme="minorHAnsi" w:hAnsiTheme="minorHAnsi" w:cstheme="minorHAnsi"/>
                <w:sz w:val="22"/>
                <w:szCs w:val="22"/>
              </w:rPr>
              <w:t xml:space="preserve">’, the minimum </w:t>
            </w:r>
            <w:r w:rsidR="005E1114">
              <w:rPr>
                <w:rFonts w:asciiTheme="minorHAnsi" w:hAnsiTheme="minorHAnsi" w:cstheme="minorHAnsi"/>
                <w:sz w:val="22"/>
                <w:szCs w:val="22"/>
              </w:rPr>
              <w:t xml:space="preserve">trend </w:t>
            </w:r>
            <w:r w:rsidR="005E1114" w:rsidRPr="009E40BE">
              <w:rPr>
                <w:rFonts w:asciiTheme="minorHAnsi" w:hAnsiTheme="minorHAnsi" w:cstheme="minorHAnsi"/>
                <w:sz w:val="22"/>
                <w:szCs w:val="22"/>
              </w:rPr>
              <w:t xml:space="preserve">magnitude as </w:t>
            </w:r>
            <w:r w:rsidR="00CF6EA0">
              <w:rPr>
                <w:rFonts w:asciiTheme="minorHAnsi" w:hAnsiTheme="minorHAnsi" w:cstheme="minorHAnsi"/>
                <w:sz w:val="22"/>
                <w:szCs w:val="22"/>
              </w:rPr>
              <w:t>‘-</w:t>
            </w:r>
            <w:r w:rsidR="005E111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DF6CE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5E1114" w:rsidRPr="009E40BE">
              <w:rPr>
                <w:rFonts w:asciiTheme="minorHAnsi" w:hAnsiTheme="minorHAnsi" w:cstheme="minorHAnsi"/>
                <w:sz w:val="22"/>
                <w:szCs w:val="22"/>
              </w:rPr>
              <w:t xml:space="preserve">’ </w:t>
            </w:r>
            <w:r w:rsidR="005E1114">
              <w:rPr>
                <w:rFonts w:asciiTheme="minorHAnsi" w:hAnsiTheme="minorHAnsi" w:cstheme="minorHAnsi"/>
                <w:sz w:val="22"/>
                <w:szCs w:val="22"/>
              </w:rPr>
              <w:t xml:space="preserve">(i.e. the </w:t>
            </w:r>
            <w:r w:rsidR="00CF6EA0">
              <w:rPr>
                <w:rFonts w:asciiTheme="minorHAnsi" w:hAnsiTheme="minorHAnsi" w:cstheme="minorHAnsi"/>
                <w:sz w:val="22"/>
                <w:szCs w:val="22"/>
              </w:rPr>
              <w:t xml:space="preserve">percentage </w:t>
            </w:r>
            <w:r w:rsidR="005E1114">
              <w:rPr>
                <w:rFonts w:asciiTheme="minorHAnsi" w:hAnsiTheme="minorHAnsi" w:cstheme="minorHAnsi"/>
                <w:sz w:val="22"/>
                <w:szCs w:val="22"/>
              </w:rPr>
              <w:t xml:space="preserve">decrease from the peak to the baseline) </w:t>
            </w:r>
            <w:r w:rsidR="005E11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and the maximum as </w:t>
            </w:r>
            <w:r w:rsidR="00DF6CE4">
              <w:rPr>
                <w:rFonts w:asciiTheme="minorHAnsi" w:hAnsiTheme="minorHAnsi" w:cstheme="minorHAnsi"/>
                <w:sz w:val="22"/>
                <w:szCs w:val="22"/>
              </w:rPr>
              <w:t>‘5</w:t>
            </w:r>
            <w:r w:rsidR="005E111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CF6EA0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5E1114">
              <w:rPr>
                <w:rFonts w:asciiTheme="minorHAnsi" w:hAnsiTheme="minorHAnsi" w:cstheme="minorHAnsi"/>
                <w:sz w:val="22"/>
                <w:szCs w:val="22"/>
              </w:rPr>
              <w:t>’ (i.e. the</w:t>
            </w:r>
            <w:r w:rsidR="00CF6EA0">
              <w:rPr>
                <w:rFonts w:asciiTheme="minorHAnsi" w:hAnsiTheme="minorHAnsi" w:cstheme="minorHAnsi"/>
                <w:sz w:val="22"/>
                <w:szCs w:val="22"/>
              </w:rPr>
              <w:t xml:space="preserve"> percentage increase from the baseline to the peak).</w:t>
            </w:r>
            <w:r w:rsidR="005E11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F7ACF" w:rsidRPr="00584BDD" w:rsidRDefault="00316168" w:rsidP="00316168">
            <w:pPr>
              <w:spacing w:after="6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the case of</w:t>
            </w:r>
            <w:r w:rsidR="00B35B5A">
              <w:rPr>
                <w:rFonts w:asciiTheme="minorHAnsi" w:hAnsiTheme="minorHAnsi" w:cstheme="minorHAnsi"/>
                <w:sz w:val="22"/>
                <w:szCs w:val="22"/>
              </w:rPr>
              <w:t xml:space="preserve"> a rare breeding species – occurring</w:t>
            </w:r>
            <w:r w:rsidR="00BA0B5A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r w:rsidR="00B35B5A">
              <w:rPr>
                <w:rFonts w:asciiTheme="minorHAnsi" w:hAnsiTheme="minorHAnsi" w:cstheme="minorHAnsi"/>
                <w:sz w:val="22"/>
                <w:szCs w:val="22"/>
              </w:rPr>
              <w:t xml:space="preserve">most (so ‘regular’), but not all, years – whose numbers vary between </w:t>
            </w:r>
            <w:r w:rsidR="00C82A47">
              <w:rPr>
                <w:rFonts w:asciiTheme="minorHAnsi" w:hAnsiTheme="minorHAnsi" w:cstheme="minorHAnsi"/>
                <w:sz w:val="22"/>
                <w:szCs w:val="22"/>
              </w:rPr>
              <w:t>zero</w:t>
            </w:r>
            <w:r w:rsidR="00B35B5A">
              <w:rPr>
                <w:rFonts w:asciiTheme="minorHAnsi" w:hAnsiTheme="minorHAnsi" w:cstheme="minorHAnsi"/>
                <w:sz w:val="22"/>
                <w:szCs w:val="22"/>
              </w:rPr>
              <w:t xml:space="preserve"> and two pairs, but </w:t>
            </w:r>
            <w:r w:rsidR="005E1114">
              <w:rPr>
                <w:rFonts w:asciiTheme="minorHAnsi" w:hAnsiTheme="minorHAnsi" w:cstheme="minorHAnsi"/>
                <w:sz w:val="22"/>
                <w:szCs w:val="22"/>
              </w:rPr>
              <w:t>which does not</w:t>
            </w:r>
            <w:r w:rsidR="00B35B5A">
              <w:rPr>
                <w:rFonts w:asciiTheme="minorHAnsi" w:hAnsiTheme="minorHAnsi" w:cstheme="minorHAnsi"/>
                <w:sz w:val="22"/>
                <w:szCs w:val="22"/>
              </w:rPr>
              <w:t xml:space="preserve"> show signs of becoming more or less regular/common, </w:t>
            </w:r>
            <w:r w:rsidR="00C82A47" w:rsidRPr="009E40BE">
              <w:rPr>
                <w:rFonts w:asciiTheme="minorHAnsi" w:hAnsiTheme="minorHAnsi" w:cstheme="minorHAnsi"/>
                <w:sz w:val="22"/>
                <w:szCs w:val="22"/>
              </w:rPr>
              <w:t>the trend direction should be reported as ‘</w:t>
            </w:r>
            <w:r w:rsidR="00C82A47">
              <w:rPr>
                <w:rFonts w:asciiTheme="minorHAnsi" w:hAnsiTheme="minorHAnsi" w:cstheme="minorHAnsi"/>
                <w:sz w:val="22"/>
                <w:szCs w:val="22"/>
              </w:rPr>
              <w:t>fluctuating</w:t>
            </w:r>
            <w:r w:rsidR="00C82A47" w:rsidRPr="009E40BE">
              <w:rPr>
                <w:rFonts w:asciiTheme="minorHAnsi" w:hAnsiTheme="minorHAnsi" w:cstheme="minorHAnsi"/>
                <w:sz w:val="22"/>
                <w:szCs w:val="22"/>
              </w:rPr>
              <w:t xml:space="preserve">’, the minimum </w:t>
            </w:r>
            <w:r w:rsidR="00C82A47">
              <w:rPr>
                <w:rFonts w:asciiTheme="minorHAnsi" w:hAnsiTheme="minorHAnsi" w:cstheme="minorHAnsi"/>
                <w:sz w:val="22"/>
                <w:szCs w:val="22"/>
              </w:rPr>
              <w:t xml:space="preserve">trend </w:t>
            </w:r>
            <w:r w:rsidR="00C82A47" w:rsidRPr="009E40BE">
              <w:rPr>
                <w:rFonts w:asciiTheme="minorHAnsi" w:hAnsiTheme="minorHAnsi" w:cstheme="minorHAnsi"/>
                <w:sz w:val="22"/>
                <w:szCs w:val="22"/>
              </w:rPr>
              <w:t>magnitude as ‘-</w:t>
            </w:r>
            <w:r w:rsidR="00C82A4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C82A47" w:rsidRPr="009E40BE">
              <w:rPr>
                <w:rFonts w:asciiTheme="minorHAnsi" w:hAnsiTheme="minorHAnsi" w:cstheme="minorHAnsi"/>
                <w:sz w:val="22"/>
                <w:szCs w:val="22"/>
              </w:rPr>
              <w:t xml:space="preserve">0’ </w:t>
            </w:r>
            <w:r w:rsidR="00C82A47">
              <w:rPr>
                <w:rFonts w:asciiTheme="minorHAnsi" w:hAnsiTheme="minorHAnsi" w:cstheme="minorHAnsi"/>
                <w:sz w:val="22"/>
                <w:szCs w:val="22"/>
              </w:rPr>
              <w:t xml:space="preserve">(i.e.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‘disappearing’</w:t>
            </w:r>
            <w:r w:rsidR="00C82A47">
              <w:rPr>
                <w:rFonts w:asciiTheme="minorHAnsi" w:hAnsiTheme="minorHAnsi" w:cstheme="minorHAnsi"/>
                <w:sz w:val="22"/>
                <w:szCs w:val="22"/>
              </w:rPr>
              <w:t xml:space="preserve"> in some years) </w:t>
            </w:r>
            <w:r w:rsidR="00C82A47" w:rsidRPr="009E40BE">
              <w:rPr>
                <w:rFonts w:asciiTheme="minorHAnsi" w:hAnsiTheme="minorHAnsi" w:cstheme="minorHAnsi"/>
                <w:sz w:val="22"/>
                <w:szCs w:val="22"/>
              </w:rPr>
              <w:t>and the maximum as ‘20</w:t>
            </w:r>
            <w:r w:rsidR="00C82A4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82A47" w:rsidRPr="009E40BE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C82A47">
              <w:rPr>
                <w:rStyle w:val="FootnoteReference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="00C82A4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3A4E00" w:rsidRPr="009D0F35" w:rsidRDefault="003A4E00" w:rsidP="008F13E1">
      <w:pPr>
        <w:spacing w:before="120" w:after="120"/>
        <w:jc w:val="left"/>
        <w:rPr>
          <w:rFonts w:ascii="Calibri" w:eastAsia="Times New Roman" w:hAnsi="Calibri" w:cs="Times New Roman"/>
          <w:sz w:val="22"/>
          <w:szCs w:val="22"/>
          <w:lang w:eastAsia="en-GB"/>
        </w:rPr>
      </w:pPr>
    </w:p>
    <w:sectPr w:rsidR="003A4E00" w:rsidRPr="009D0F35" w:rsidSect="006314A6">
      <w:headerReference w:type="default" r:id="rId10"/>
      <w:footerReference w:type="default" r:id="rId11"/>
      <w:pgSz w:w="11906" w:h="16838"/>
      <w:pgMar w:top="1191" w:right="1361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AE" w:rsidRDefault="00CC2AAE" w:rsidP="007B11CF">
      <w:r>
        <w:separator/>
      </w:r>
    </w:p>
  </w:endnote>
  <w:endnote w:type="continuationSeparator" w:id="0">
    <w:p w:rsidR="00CC2AAE" w:rsidRDefault="00CC2AAE" w:rsidP="007B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115" w:rsidRPr="00561115" w:rsidRDefault="00561115">
    <w:pPr>
      <w:pStyle w:val="Footer"/>
      <w:rPr>
        <w:rFonts w:asciiTheme="minorHAnsi" w:hAnsiTheme="minorHAnsi"/>
        <w:sz w:val="18"/>
        <w:szCs w:val="18"/>
      </w:rPr>
    </w:pPr>
    <w:r w:rsidRPr="00561115">
      <w:rPr>
        <w:rFonts w:asciiTheme="minorHAnsi" w:hAnsiTheme="minorHAnsi"/>
        <w:sz w:val="18"/>
        <w:szCs w:val="18"/>
      </w:rPr>
      <w:t xml:space="preserve">Reporting trend magnitudes </w:t>
    </w:r>
    <w:r w:rsidRPr="00561115">
      <w:rPr>
        <w:rFonts w:asciiTheme="minorHAnsi" w:hAnsiTheme="minorHAnsi"/>
        <w:sz w:val="18"/>
        <w:szCs w:val="18"/>
      </w:rPr>
      <w:tab/>
    </w:r>
    <w:r w:rsidRPr="00561115">
      <w:rPr>
        <w:rFonts w:asciiTheme="minorHAnsi" w:hAnsiTheme="minorHAnsi"/>
        <w:sz w:val="18"/>
        <w:szCs w:val="18"/>
      </w:rPr>
      <w:tab/>
    </w:r>
    <w:sdt>
      <w:sdtPr>
        <w:rPr>
          <w:rFonts w:asciiTheme="minorHAnsi" w:hAnsiTheme="minorHAnsi"/>
          <w:sz w:val="18"/>
          <w:szCs w:val="18"/>
        </w:rPr>
        <w:id w:val="-1391163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61115">
          <w:rPr>
            <w:rFonts w:asciiTheme="minorHAnsi" w:hAnsiTheme="minorHAnsi"/>
            <w:sz w:val="18"/>
            <w:szCs w:val="18"/>
          </w:rPr>
          <w:fldChar w:fldCharType="begin"/>
        </w:r>
        <w:r w:rsidRPr="00561115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561115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1</w:t>
        </w:r>
        <w:r w:rsidRPr="00561115">
          <w:rPr>
            <w:rFonts w:asciiTheme="minorHAnsi" w:hAnsiTheme="minorHAnsi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AE" w:rsidRDefault="00CC2AAE" w:rsidP="007B11CF">
      <w:r>
        <w:separator/>
      </w:r>
    </w:p>
  </w:footnote>
  <w:footnote w:type="continuationSeparator" w:id="0">
    <w:p w:rsidR="00CC2AAE" w:rsidRDefault="00CC2AAE" w:rsidP="007B11CF">
      <w:r>
        <w:continuationSeparator/>
      </w:r>
    </w:p>
  </w:footnote>
  <w:footnote w:id="1">
    <w:p w:rsidR="00277C5D" w:rsidRDefault="00277C5D" w:rsidP="00277C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D3A09">
        <w:rPr>
          <w:rFonts w:asciiTheme="minorHAnsi" w:hAnsiTheme="minorHAnsi" w:cstheme="minorHAnsi"/>
        </w:rPr>
        <w:t xml:space="preserve">See, e.g., </w:t>
      </w:r>
      <w:hyperlink r:id="rId1" w:anchor="Box%20Trend%20interpretation%20and%20classification" w:history="1">
        <w:r w:rsidRPr="00FD3A09">
          <w:rPr>
            <w:rStyle w:val="Hyperlink"/>
            <w:rFonts w:asciiTheme="minorHAnsi" w:hAnsiTheme="minorHAnsi" w:cstheme="minorHAnsi"/>
          </w:rPr>
          <w:t>http://www.ebcc.info/index.php?ID=634#Box%20Trend%20interpretation%20and%20classification</w:t>
        </w:r>
      </w:hyperlink>
    </w:p>
  </w:footnote>
  <w:footnote w:id="2">
    <w:p w:rsidR="00C82A47" w:rsidRPr="00C82A47" w:rsidRDefault="00C82A47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</w:t>
      </w:r>
      <w:r w:rsidRPr="00C82A47">
        <w:rPr>
          <w:rFonts w:asciiTheme="minorHAnsi" w:hAnsiTheme="minorHAnsi" w:cstheme="minorHAnsi"/>
        </w:rPr>
        <w:t>Not strictly the percentage increase from zero to</w:t>
      </w:r>
      <w:r>
        <w:rPr>
          <w:rFonts w:asciiTheme="minorHAnsi" w:hAnsiTheme="minorHAnsi" w:cstheme="minorHAnsi"/>
        </w:rPr>
        <w:t xml:space="preserve"> two (not calculable)</w:t>
      </w:r>
      <w:r w:rsidRPr="00C82A47">
        <w:rPr>
          <w:rFonts w:asciiTheme="minorHAnsi" w:hAnsiTheme="minorHAnsi" w:cstheme="minorHAnsi"/>
        </w:rPr>
        <w:t>, but indicative of this non</w:t>
      </w:r>
      <w:r>
        <w:rPr>
          <w:rFonts w:asciiTheme="minorHAnsi" w:hAnsiTheme="minorHAnsi" w:cstheme="minorHAnsi"/>
        </w:rPr>
        <w:t>etheless.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CF" w:rsidRPr="007B11CF" w:rsidRDefault="007B11CF" w:rsidP="007B11CF">
    <w:pPr>
      <w:rPr>
        <w:rFonts w:ascii="Calibri" w:hAnsi="Calibri"/>
        <w:color w:val="auto"/>
        <w:sz w:val="18"/>
        <w:szCs w:val="20"/>
      </w:rPr>
    </w:pPr>
    <w:r>
      <w:rPr>
        <w:rFonts w:ascii="Calibri" w:hAnsi="Calibri"/>
        <w:color w:val="auto"/>
        <w:sz w:val="18"/>
        <w:szCs w:val="20"/>
      </w:rPr>
      <w:t>The N2K Group</w:t>
    </w:r>
    <w:r w:rsidR="003326AD">
      <w:rPr>
        <w:rFonts w:ascii="Calibri" w:hAnsi="Calibri"/>
        <w:color w:val="auto"/>
        <w:sz w:val="18"/>
        <w:szCs w:val="20"/>
      </w:rPr>
      <w:t xml:space="preserve"> (for DG Environment)</w:t>
    </w:r>
    <w:r w:rsidR="003326AD">
      <w:rPr>
        <w:rFonts w:ascii="Calibri" w:hAnsi="Calibri"/>
        <w:color w:val="auto"/>
        <w:sz w:val="18"/>
        <w:szCs w:val="20"/>
      </w:rPr>
      <w:tab/>
    </w:r>
    <w:r w:rsidR="003326AD">
      <w:rPr>
        <w:rFonts w:ascii="Calibri" w:hAnsi="Calibri"/>
        <w:color w:val="auto"/>
        <w:sz w:val="18"/>
        <w:szCs w:val="20"/>
      </w:rPr>
      <w:tab/>
    </w:r>
    <w:r w:rsidR="003326AD">
      <w:rPr>
        <w:rFonts w:ascii="Calibri" w:hAnsi="Calibri"/>
        <w:color w:val="auto"/>
        <w:sz w:val="18"/>
        <w:szCs w:val="20"/>
      </w:rPr>
      <w:tab/>
    </w:r>
    <w:r w:rsidR="003326AD">
      <w:rPr>
        <w:rFonts w:ascii="Calibri" w:hAnsi="Calibri"/>
        <w:color w:val="auto"/>
        <w:sz w:val="18"/>
        <w:szCs w:val="20"/>
      </w:rPr>
      <w:tab/>
    </w:r>
    <w:r w:rsidR="003326AD">
      <w:rPr>
        <w:rFonts w:ascii="Calibri" w:hAnsi="Calibri"/>
        <w:color w:val="auto"/>
        <w:sz w:val="18"/>
        <w:szCs w:val="20"/>
      </w:rPr>
      <w:tab/>
    </w:r>
    <w:r w:rsidR="003326AD">
      <w:rPr>
        <w:rFonts w:ascii="Calibri" w:hAnsi="Calibri"/>
        <w:color w:val="auto"/>
        <w:sz w:val="18"/>
        <w:szCs w:val="20"/>
      </w:rPr>
      <w:tab/>
    </w:r>
    <w:r>
      <w:rPr>
        <w:rFonts w:ascii="Calibri" w:hAnsi="Calibri"/>
        <w:color w:val="auto"/>
        <w:sz w:val="18"/>
        <w:szCs w:val="20"/>
      </w:rPr>
      <w:t xml:space="preserve">Last updated: </w:t>
    </w:r>
    <w:r w:rsidR="00A40775">
      <w:rPr>
        <w:rFonts w:ascii="Calibri" w:hAnsi="Calibri"/>
        <w:color w:val="auto"/>
        <w:sz w:val="18"/>
        <w:szCs w:val="20"/>
      </w:rPr>
      <w:t>3 July</w:t>
    </w:r>
    <w:r w:rsidR="001E0031">
      <w:rPr>
        <w:rFonts w:ascii="Calibri" w:hAnsi="Calibri"/>
        <w:color w:val="auto"/>
        <w:sz w:val="18"/>
        <w:szCs w:val="20"/>
      </w:rPr>
      <w:t xml:space="preserve"> </w:t>
    </w:r>
    <w:r>
      <w:rPr>
        <w:rFonts w:ascii="Calibri" w:hAnsi="Calibri"/>
        <w:color w:val="auto"/>
        <w:sz w:val="18"/>
        <w:szCs w:val="20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F41"/>
    <w:multiLevelType w:val="hybridMultilevel"/>
    <w:tmpl w:val="2306EAF8"/>
    <w:lvl w:ilvl="0" w:tplc="BE2AE494">
      <w:start w:val="1"/>
      <w:numFmt w:val="decimal"/>
      <w:pStyle w:val="Heading8"/>
      <w:lvlText w:val="Annex %1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0" w:hanging="360"/>
      </w:pPr>
    </w:lvl>
    <w:lvl w:ilvl="2" w:tplc="0809001B" w:tentative="1">
      <w:start w:val="1"/>
      <w:numFmt w:val="lowerRoman"/>
      <w:lvlText w:val="%3."/>
      <w:lvlJc w:val="right"/>
      <w:pPr>
        <w:ind w:left="1170" w:hanging="180"/>
      </w:pPr>
    </w:lvl>
    <w:lvl w:ilvl="3" w:tplc="0809000F" w:tentative="1">
      <w:start w:val="1"/>
      <w:numFmt w:val="decimal"/>
      <w:lvlText w:val="%4."/>
      <w:lvlJc w:val="left"/>
      <w:pPr>
        <w:ind w:left="1890" w:hanging="360"/>
      </w:pPr>
    </w:lvl>
    <w:lvl w:ilvl="4" w:tplc="08090019" w:tentative="1">
      <w:start w:val="1"/>
      <w:numFmt w:val="lowerLetter"/>
      <w:lvlText w:val="%5."/>
      <w:lvlJc w:val="left"/>
      <w:pPr>
        <w:ind w:left="2610" w:hanging="360"/>
      </w:pPr>
    </w:lvl>
    <w:lvl w:ilvl="5" w:tplc="0809001B" w:tentative="1">
      <w:start w:val="1"/>
      <w:numFmt w:val="lowerRoman"/>
      <w:lvlText w:val="%6."/>
      <w:lvlJc w:val="right"/>
      <w:pPr>
        <w:ind w:left="3330" w:hanging="180"/>
      </w:pPr>
    </w:lvl>
    <w:lvl w:ilvl="6" w:tplc="0809000F" w:tentative="1">
      <w:start w:val="1"/>
      <w:numFmt w:val="decimal"/>
      <w:lvlText w:val="%7."/>
      <w:lvlJc w:val="left"/>
      <w:pPr>
        <w:ind w:left="4050" w:hanging="360"/>
      </w:pPr>
    </w:lvl>
    <w:lvl w:ilvl="7" w:tplc="08090019" w:tentative="1">
      <w:start w:val="1"/>
      <w:numFmt w:val="lowerLetter"/>
      <w:lvlText w:val="%8."/>
      <w:lvlJc w:val="left"/>
      <w:pPr>
        <w:ind w:left="4770" w:hanging="360"/>
      </w:pPr>
    </w:lvl>
    <w:lvl w:ilvl="8" w:tplc="08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>
    <w:nsid w:val="59AB4C54"/>
    <w:multiLevelType w:val="multilevel"/>
    <w:tmpl w:val="5B2633AE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09"/>
        </w:tabs>
        <w:ind w:left="16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Figure %1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Map %1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Photo %1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Box %1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Table %1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CF"/>
    <w:rsid w:val="0011300C"/>
    <w:rsid w:val="001B1CA0"/>
    <w:rsid w:val="001C18CA"/>
    <w:rsid w:val="001E0031"/>
    <w:rsid w:val="00226E14"/>
    <w:rsid w:val="00232403"/>
    <w:rsid w:val="00233CFC"/>
    <w:rsid w:val="00254D3B"/>
    <w:rsid w:val="00277C5D"/>
    <w:rsid w:val="002D314B"/>
    <w:rsid w:val="00316168"/>
    <w:rsid w:val="003256A4"/>
    <w:rsid w:val="003326AD"/>
    <w:rsid w:val="00337DE3"/>
    <w:rsid w:val="00361638"/>
    <w:rsid w:val="003A4E00"/>
    <w:rsid w:val="003F4DA1"/>
    <w:rsid w:val="0043253C"/>
    <w:rsid w:val="004355CF"/>
    <w:rsid w:val="004477DD"/>
    <w:rsid w:val="00476E29"/>
    <w:rsid w:val="00487B5F"/>
    <w:rsid w:val="00494F64"/>
    <w:rsid w:val="004A64B7"/>
    <w:rsid w:val="005551B8"/>
    <w:rsid w:val="0055604A"/>
    <w:rsid w:val="00561115"/>
    <w:rsid w:val="005677DB"/>
    <w:rsid w:val="005B21ED"/>
    <w:rsid w:val="005C5EEC"/>
    <w:rsid w:val="005E1114"/>
    <w:rsid w:val="0061490B"/>
    <w:rsid w:val="006211FD"/>
    <w:rsid w:val="006314A6"/>
    <w:rsid w:val="006324C5"/>
    <w:rsid w:val="00700337"/>
    <w:rsid w:val="0070588C"/>
    <w:rsid w:val="00713BAC"/>
    <w:rsid w:val="00744548"/>
    <w:rsid w:val="00792BF5"/>
    <w:rsid w:val="00794E92"/>
    <w:rsid w:val="007B11CF"/>
    <w:rsid w:val="00816B84"/>
    <w:rsid w:val="00880875"/>
    <w:rsid w:val="008B0998"/>
    <w:rsid w:val="008B50BA"/>
    <w:rsid w:val="008C317D"/>
    <w:rsid w:val="008F13E1"/>
    <w:rsid w:val="009309AD"/>
    <w:rsid w:val="0094059D"/>
    <w:rsid w:val="0094268F"/>
    <w:rsid w:val="00963438"/>
    <w:rsid w:val="00974F6B"/>
    <w:rsid w:val="009A04EF"/>
    <w:rsid w:val="009A3E1C"/>
    <w:rsid w:val="009A4E9E"/>
    <w:rsid w:val="009D0F35"/>
    <w:rsid w:val="009D17B9"/>
    <w:rsid w:val="009E40BE"/>
    <w:rsid w:val="00A40775"/>
    <w:rsid w:val="00A7108F"/>
    <w:rsid w:val="00AD2C3E"/>
    <w:rsid w:val="00AE3F2B"/>
    <w:rsid w:val="00AE75FA"/>
    <w:rsid w:val="00B320BE"/>
    <w:rsid w:val="00B35B5A"/>
    <w:rsid w:val="00B83D13"/>
    <w:rsid w:val="00B870CB"/>
    <w:rsid w:val="00BA0B5A"/>
    <w:rsid w:val="00BA323F"/>
    <w:rsid w:val="00BC0803"/>
    <w:rsid w:val="00BC64CE"/>
    <w:rsid w:val="00BF767C"/>
    <w:rsid w:val="00C605D5"/>
    <w:rsid w:val="00C728C3"/>
    <w:rsid w:val="00C82A47"/>
    <w:rsid w:val="00C84A02"/>
    <w:rsid w:val="00C92A86"/>
    <w:rsid w:val="00CC2982"/>
    <w:rsid w:val="00CC2AAE"/>
    <w:rsid w:val="00CF6EA0"/>
    <w:rsid w:val="00D343AA"/>
    <w:rsid w:val="00D7126D"/>
    <w:rsid w:val="00DF6CE4"/>
    <w:rsid w:val="00DF7ACF"/>
    <w:rsid w:val="00E23EC9"/>
    <w:rsid w:val="00E62803"/>
    <w:rsid w:val="00E66B62"/>
    <w:rsid w:val="00EC76C6"/>
    <w:rsid w:val="00F644E2"/>
    <w:rsid w:val="00F74E16"/>
    <w:rsid w:val="00FB723B"/>
    <w:rsid w:val="00FD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82"/>
    <w:pPr>
      <w:spacing w:after="0" w:line="240" w:lineRule="auto"/>
      <w:jc w:val="both"/>
    </w:pPr>
    <w:rPr>
      <w:rFonts w:ascii="Times New Roman" w:eastAsia="ヒラギノ角ゴ Pro W3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982"/>
    <w:pPr>
      <w:keepNext/>
      <w:numPr>
        <w:numId w:val="3"/>
      </w:numPr>
      <w:spacing w:before="360" w:after="240"/>
      <w:jc w:val="left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CC2982"/>
    <w:pPr>
      <w:keepNext/>
      <w:numPr>
        <w:ilvl w:val="1"/>
        <w:numId w:val="3"/>
      </w:numPr>
      <w:spacing w:after="240"/>
      <w:jc w:val="left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CC2982"/>
    <w:pPr>
      <w:keepNext/>
      <w:numPr>
        <w:ilvl w:val="2"/>
        <w:numId w:val="3"/>
      </w:numPr>
      <w:spacing w:after="24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Heading1"/>
    <w:next w:val="Normal"/>
    <w:link w:val="Heading4Char"/>
    <w:uiPriority w:val="9"/>
    <w:qFormat/>
    <w:rsid w:val="00CC2982"/>
    <w:pPr>
      <w:numPr>
        <w:numId w:val="0"/>
      </w:numPr>
      <w:spacing w:before="0"/>
      <w:outlineLvl w:val="3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C29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qFormat/>
    <w:rsid w:val="00CC2982"/>
    <w:pPr>
      <w:keepLines w:val="0"/>
      <w:numPr>
        <w:numId w:val="5"/>
      </w:numPr>
      <w:spacing w:before="0" w:after="240"/>
      <w:jc w:val="left"/>
      <w:outlineLvl w:val="7"/>
    </w:pPr>
    <w:rPr>
      <w:rFonts w:ascii="Times New Roman" w:eastAsia="Times New Roman" w:hAnsi="Times New Roman" w:cs="Times New Roman"/>
      <w:b/>
      <w:bCs/>
      <w:i w:val="0"/>
      <w:iCs w:val="0"/>
      <w:color w:val="auto"/>
      <w:sz w:val="22"/>
      <w:szCs w:val="22"/>
      <w:lang w:eastAsia="da-DK"/>
    </w:rPr>
  </w:style>
  <w:style w:type="paragraph" w:styleId="Heading9">
    <w:name w:val="heading 9"/>
    <w:basedOn w:val="Heading8"/>
    <w:next w:val="Normal"/>
    <w:link w:val="Heading9Char"/>
    <w:qFormat/>
    <w:rsid w:val="00CC2982"/>
    <w:pPr>
      <w:numPr>
        <w:numId w:val="0"/>
      </w:numPr>
      <w:ind w:left="1843" w:hanging="1843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toedpub">
    <w:name w:val="Note to ed/pub"/>
    <w:basedOn w:val="Normal"/>
    <w:link w:val="NotetoedpubChar"/>
    <w:qFormat/>
    <w:rsid w:val="00CC2982"/>
    <w:pPr>
      <w:spacing w:after="240"/>
    </w:pPr>
    <w:rPr>
      <w:rFonts w:cs="Times New Roman"/>
      <w:b/>
      <w:i/>
    </w:rPr>
  </w:style>
  <w:style w:type="character" w:customStyle="1" w:styleId="NotetoedpubChar">
    <w:name w:val="Note to ed/pub Char"/>
    <w:link w:val="Notetoedpub"/>
    <w:rsid w:val="00CC2982"/>
    <w:rPr>
      <w:rFonts w:ascii="Times New Roman" w:eastAsia="ヒラギノ角ゴ Pro W3" w:hAnsi="Times New Roman" w:cs="Times New Roman"/>
      <w:b/>
      <w:i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C2982"/>
    <w:rPr>
      <w:rFonts w:ascii="Arial" w:eastAsia="ヒラギノ角ゴ Pro W3" w:hAnsi="Arial" w:cs="Arial"/>
      <w:b/>
      <w:bCs/>
      <w:color w:val="000000"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CC2982"/>
    <w:rPr>
      <w:rFonts w:ascii="Arial" w:eastAsia="ヒラギノ角ゴ Pro W3" w:hAnsi="Arial" w:cs="Arial"/>
      <w:b/>
      <w:bCs/>
      <w:i/>
      <w:i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C2982"/>
    <w:rPr>
      <w:rFonts w:ascii="Times New Roman" w:eastAsia="ヒラギノ角ゴ Pro W3" w:hAnsi="Times New Roman" w:cs="Arial"/>
      <w:b/>
      <w:bCs/>
      <w:color w:val="00000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C2982"/>
    <w:rPr>
      <w:rFonts w:ascii="Arial" w:eastAsia="ヒラギノ角ゴ Pro W3" w:hAnsi="Arial" w:cs="Arial"/>
      <w:b/>
      <w:bCs/>
      <w:color w:val="000000"/>
      <w:kern w:val="32"/>
      <w:sz w:val="40"/>
      <w:szCs w:val="40"/>
    </w:rPr>
  </w:style>
  <w:style w:type="character" w:customStyle="1" w:styleId="Heading8Char">
    <w:name w:val="Heading 8 Char"/>
    <w:basedOn w:val="DefaultParagraphFont"/>
    <w:link w:val="Heading8"/>
    <w:rsid w:val="00CC2982"/>
    <w:rPr>
      <w:rFonts w:ascii="Times New Roman" w:eastAsia="Times New Roman" w:hAnsi="Times New Roman" w:cs="Times New Roman"/>
      <w:b/>
      <w:bCs/>
      <w:lang w:eastAsia="da-D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9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C2982"/>
    <w:rPr>
      <w:rFonts w:ascii="Times New Roman" w:eastAsia="Times New Roman" w:hAnsi="Times New Roman" w:cs="Times New Roman"/>
      <w:b/>
      <w:bCs/>
      <w:lang w:eastAsia="da-DK"/>
    </w:rPr>
  </w:style>
  <w:style w:type="paragraph" w:styleId="Caption">
    <w:name w:val="caption"/>
    <w:basedOn w:val="Normal"/>
    <w:next w:val="Normal"/>
    <w:qFormat/>
    <w:rsid w:val="00CC2982"/>
    <w:pPr>
      <w:spacing w:after="240"/>
      <w:ind w:left="1418" w:hanging="1418"/>
    </w:pPr>
    <w:rPr>
      <w:rFonts w:ascii="Arial" w:hAnsi="Arial" w:cs="Times New Roman"/>
      <w:b/>
      <w:bCs/>
      <w:sz w:val="2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C298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CC2982"/>
    <w:rPr>
      <w:rFonts w:asciiTheme="majorHAnsi" w:eastAsiaTheme="majorEastAsia" w:hAnsiTheme="majorHAnsi" w:cstheme="majorBidi"/>
      <w:b/>
      <w:bCs/>
      <w:kern w:val="28"/>
      <w:sz w:val="32"/>
      <w:szCs w:val="32"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982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auto"/>
      <w:lang w:val="de-DE"/>
    </w:rPr>
  </w:style>
  <w:style w:type="character" w:customStyle="1" w:styleId="SubtitleChar">
    <w:name w:val="Subtitle Char"/>
    <w:basedOn w:val="DefaultParagraphFont"/>
    <w:link w:val="Subtitle"/>
    <w:uiPriority w:val="11"/>
    <w:rsid w:val="00CC2982"/>
    <w:rPr>
      <w:rFonts w:asciiTheme="majorHAnsi" w:eastAsiaTheme="majorEastAsia" w:hAnsiTheme="majorHAnsi" w:cstheme="majorBidi"/>
      <w:sz w:val="24"/>
      <w:szCs w:val="24"/>
      <w:lang w:val="de-DE"/>
    </w:rPr>
  </w:style>
  <w:style w:type="character" w:styleId="Strong">
    <w:name w:val="Strong"/>
    <w:basedOn w:val="DefaultParagraphFont"/>
    <w:uiPriority w:val="22"/>
    <w:qFormat/>
    <w:rsid w:val="00CC2982"/>
    <w:rPr>
      <w:b/>
      <w:bCs/>
    </w:rPr>
  </w:style>
  <w:style w:type="character" w:styleId="Emphasis">
    <w:name w:val="Emphasis"/>
    <w:basedOn w:val="DefaultParagraphFont"/>
    <w:uiPriority w:val="20"/>
    <w:qFormat/>
    <w:rsid w:val="00CC2982"/>
    <w:rPr>
      <w:i/>
      <w:iCs/>
    </w:rPr>
  </w:style>
  <w:style w:type="paragraph" w:styleId="NoSpacing">
    <w:name w:val="No Spacing"/>
    <w:uiPriority w:val="1"/>
    <w:qFormat/>
    <w:rsid w:val="00CC298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styleId="ListParagraph">
    <w:name w:val="List Paragraph"/>
    <w:basedOn w:val="Normal"/>
    <w:link w:val="ListParagraphChar"/>
    <w:uiPriority w:val="34"/>
    <w:qFormat/>
    <w:rsid w:val="00CC2982"/>
    <w:pPr>
      <w:ind w:left="720"/>
      <w:contextualSpacing/>
      <w:jc w:val="left"/>
    </w:pPr>
    <w:rPr>
      <w:rFonts w:asciiTheme="minorHAnsi" w:eastAsiaTheme="minorEastAsia" w:hAnsiTheme="minorHAnsi"/>
      <w:color w:val="auto"/>
      <w:lang w:val="de-D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C2982"/>
    <w:rPr>
      <w:rFonts w:eastAsiaTheme="minorEastAsia"/>
      <w:sz w:val="24"/>
      <w:szCs w:val="24"/>
      <w:lang w:val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2982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asciiTheme="minorHAnsi" w:eastAsiaTheme="minorEastAsia" w:hAnsiTheme="minorHAnsi"/>
      <w:b/>
      <w:bCs/>
      <w:i/>
      <w:iCs/>
      <w:color w:val="4F81BD" w:themeColor="accent1"/>
      <w:lang w:val="de-D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2982"/>
    <w:rPr>
      <w:rFonts w:eastAsiaTheme="minorEastAsia"/>
      <w:b/>
      <w:bCs/>
      <w:i/>
      <w:iCs/>
      <w:color w:val="4F81BD" w:themeColor="accent1"/>
      <w:sz w:val="24"/>
      <w:szCs w:val="24"/>
      <w:lang w:val="de-DE"/>
    </w:rPr>
  </w:style>
  <w:style w:type="character" w:styleId="SubtleEmphasis">
    <w:name w:val="Subtle Emphasis"/>
    <w:basedOn w:val="DefaultParagraphFont"/>
    <w:uiPriority w:val="19"/>
    <w:qFormat/>
    <w:rsid w:val="00CC298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C298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C298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C298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C2982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7B11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11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1CF"/>
    <w:rPr>
      <w:rFonts w:ascii="Times New Roman" w:eastAsia="ヒラギノ角ゴ Pro W3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11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1CF"/>
    <w:rPr>
      <w:rFonts w:ascii="Times New Roman" w:eastAsia="ヒラギノ角ゴ Pro W3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D1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7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7B9"/>
    <w:rPr>
      <w:rFonts w:ascii="Times New Roman" w:eastAsia="ヒラギノ角ゴ Pro W3" w:hAnsi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7B9"/>
    <w:rPr>
      <w:rFonts w:ascii="Times New Roman" w:eastAsia="ヒラギノ角ゴ Pro W3" w:hAnsi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B9"/>
    <w:rPr>
      <w:rFonts w:ascii="Tahoma" w:eastAsia="ヒラギノ角ゴ Pro W3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3A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A09"/>
    <w:rPr>
      <w:rFonts w:ascii="Times New Roman" w:eastAsia="ヒラギノ角ゴ Pro W3" w:hAnsi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3A0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D31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82"/>
    <w:pPr>
      <w:spacing w:after="0" w:line="240" w:lineRule="auto"/>
      <w:jc w:val="both"/>
    </w:pPr>
    <w:rPr>
      <w:rFonts w:ascii="Times New Roman" w:eastAsia="ヒラギノ角ゴ Pro W3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982"/>
    <w:pPr>
      <w:keepNext/>
      <w:numPr>
        <w:numId w:val="3"/>
      </w:numPr>
      <w:spacing w:before="360" w:after="240"/>
      <w:jc w:val="left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CC2982"/>
    <w:pPr>
      <w:keepNext/>
      <w:numPr>
        <w:ilvl w:val="1"/>
        <w:numId w:val="3"/>
      </w:numPr>
      <w:spacing w:after="240"/>
      <w:jc w:val="left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CC2982"/>
    <w:pPr>
      <w:keepNext/>
      <w:numPr>
        <w:ilvl w:val="2"/>
        <w:numId w:val="3"/>
      </w:numPr>
      <w:spacing w:after="24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Heading1"/>
    <w:next w:val="Normal"/>
    <w:link w:val="Heading4Char"/>
    <w:uiPriority w:val="9"/>
    <w:qFormat/>
    <w:rsid w:val="00CC2982"/>
    <w:pPr>
      <w:numPr>
        <w:numId w:val="0"/>
      </w:numPr>
      <w:spacing w:before="0"/>
      <w:outlineLvl w:val="3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C29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qFormat/>
    <w:rsid w:val="00CC2982"/>
    <w:pPr>
      <w:keepLines w:val="0"/>
      <w:numPr>
        <w:numId w:val="5"/>
      </w:numPr>
      <w:spacing w:before="0" w:after="240"/>
      <w:jc w:val="left"/>
      <w:outlineLvl w:val="7"/>
    </w:pPr>
    <w:rPr>
      <w:rFonts w:ascii="Times New Roman" w:eastAsia="Times New Roman" w:hAnsi="Times New Roman" w:cs="Times New Roman"/>
      <w:b/>
      <w:bCs/>
      <w:i w:val="0"/>
      <w:iCs w:val="0"/>
      <w:color w:val="auto"/>
      <w:sz w:val="22"/>
      <w:szCs w:val="22"/>
      <w:lang w:eastAsia="da-DK"/>
    </w:rPr>
  </w:style>
  <w:style w:type="paragraph" w:styleId="Heading9">
    <w:name w:val="heading 9"/>
    <w:basedOn w:val="Heading8"/>
    <w:next w:val="Normal"/>
    <w:link w:val="Heading9Char"/>
    <w:qFormat/>
    <w:rsid w:val="00CC2982"/>
    <w:pPr>
      <w:numPr>
        <w:numId w:val="0"/>
      </w:numPr>
      <w:ind w:left="1843" w:hanging="1843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toedpub">
    <w:name w:val="Note to ed/pub"/>
    <w:basedOn w:val="Normal"/>
    <w:link w:val="NotetoedpubChar"/>
    <w:qFormat/>
    <w:rsid w:val="00CC2982"/>
    <w:pPr>
      <w:spacing w:after="240"/>
    </w:pPr>
    <w:rPr>
      <w:rFonts w:cs="Times New Roman"/>
      <w:b/>
      <w:i/>
    </w:rPr>
  </w:style>
  <w:style w:type="character" w:customStyle="1" w:styleId="NotetoedpubChar">
    <w:name w:val="Note to ed/pub Char"/>
    <w:link w:val="Notetoedpub"/>
    <w:rsid w:val="00CC2982"/>
    <w:rPr>
      <w:rFonts w:ascii="Times New Roman" w:eastAsia="ヒラギノ角ゴ Pro W3" w:hAnsi="Times New Roman" w:cs="Times New Roman"/>
      <w:b/>
      <w:i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C2982"/>
    <w:rPr>
      <w:rFonts w:ascii="Arial" w:eastAsia="ヒラギノ角ゴ Pro W3" w:hAnsi="Arial" w:cs="Arial"/>
      <w:b/>
      <w:bCs/>
      <w:color w:val="000000"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CC2982"/>
    <w:rPr>
      <w:rFonts w:ascii="Arial" w:eastAsia="ヒラギノ角ゴ Pro W3" w:hAnsi="Arial" w:cs="Arial"/>
      <w:b/>
      <w:bCs/>
      <w:i/>
      <w:i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C2982"/>
    <w:rPr>
      <w:rFonts w:ascii="Times New Roman" w:eastAsia="ヒラギノ角ゴ Pro W3" w:hAnsi="Times New Roman" w:cs="Arial"/>
      <w:b/>
      <w:bCs/>
      <w:color w:val="00000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C2982"/>
    <w:rPr>
      <w:rFonts w:ascii="Arial" w:eastAsia="ヒラギノ角ゴ Pro W3" w:hAnsi="Arial" w:cs="Arial"/>
      <w:b/>
      <w:bCs/>
      <w:color w:val="000000"/>
      <w:kern w:val="32"/>
      <w:sz w:val="40"/>
      <w:szCs w:val="40"/>
    </w:rPr>
  </w:style>
  <w:style w:type="character" w:customStyle="1" w:styleId="Heading8Char">
    <w:name w:val="Heading 8 Char"/>
    <w:basedOn w:val="DefaultParagraphFont"/>
    <w:link w:val="Heading8"/>
    <w:rsid w:val="00CC2982"/>
    <w:rPr>
      <w:rFonts w:ascii="Times New Roman" w:eastAsia="Times New Roman" w:hAnsi="Times New Roman" w:cs="Times New Roman"/>
      <w:b/>
      <w:bCs/>
      <w:lang w:eastAsia="da-D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9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C2982"/>
    <w:rPr>
      <w:rFonts w:ascii="Times New Roman" w:eastAsia="Times New Roman" w:hAnsi="Times New Roman" w:cs="Times New Roman"/>
      <w:b/>
      <w:bCs/>
      <w:lang w:eastAsia="da-DK"/>
    </w:rPr>
  </w:style>
  <w:style w:type="paragraph" w:styleId="Caption">
    <w:name w:val="caption"/>
    <w:basedOn w:val="Normal"/>
    <w:next w:val="Normal"/>
    <w:qFormat/>
    <w:rsid w:val="00CC2982"/>
    <w:pPr>
      <w:spacing w:after="240"/>
      <w:ind w:left="1418" w:hanging="1418"/>
    </w:pPr>
    <w:rPr>
      <w:rFonts w:ascii="Arial" w:hAnsi="Arial" w:cs="Times New Roman"/>
      <w:b/>
      <w:bCs/>
      <w:sz w:val="2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C298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CC2982"/>
    <w:rPr>
      <w:rFonts w:asciiTheme="majorHAnsi" w:eastAsiaTheme="majorEastAsia" w:hAnsiTheme="majorHAnsi" w:cstheme="majorBidi"/>
      <w:b/>
      <w:bCs/>
      <w:kern w:val="28"/>
      <w:sz w:val="32"/>
      <w:szCs w:val="32"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982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auto"/>
      <w:lang w:val="de-DE"/>
    </w:rPr>
  </w:style>
  <w:style w:type="character" w:customStyle="1" w:styleId="SubtitleChar">
    <w:name w:val="Subtitle Char"/>
    <w:basedOn w:val="DefaultParagraphFont"/>
    <w:link w:val="Subtitle"/>
    <w:uiPriority w:val="11"/>
    <w:rsid w:val="00CC2982"/>
    <w:rPr>
      <w:rFonts w:asciiTheme="majorHAnsi" w:eastAsiaTheme="majorEastAsia" w:hAnsiTheme="majorHAnsi" w:cstheme="majorBidi"/>
      <w:sz w:val="24"/>
      <w:szCs w:val="24"/>
      <w:lang w:val="de-DE"/>
    </w:rPr>
  </w:style>
  <w:style w:type="character" w:styleId="Strong">
    <w:name w:val="Strong"/>
    <w:basedOn w:val="DefaultParagraphFont"/>
    <w:uiPriority w:val="22"/>
    <w:qFormat/>
    <w:rsid w:val="00CC2982"/>
    <w:rPr>
      <w:b/>
      <w:bCs/>
    </w:rPr>
  </w:style>
  <w:style w:type="character" w:styleId="Emphasis">
    <w:name w:val="Emphasis"/>
    <w:basedOn w:val="DefaultParagraphFont"/>
    <w:uiPriority w:val="20"/>
    <w:qFormat/>
    <w:rsid w:val="00CC2982"/>
    <w:rPr>
      <w:i/>
      <w:iCs/>
    </w:rPr>
  </w:style>
  <w:style w:type="paragraph" w:styleId="NoSpacing">
    <w:name w:val="No Spacing"/>
    <w:uiPriority w:val="1"/>
    <w:qFormat/>
    <w:rsid w:val="00CC298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styleId="ListParagraph">
    <w:name w:val="List Paragraph"/>
    <w:basedOn w:val="Normal"/>
    <w:link w:val="ListParagraphChar"/>
    <w:uiPriority w:val="34"/>
    <w:qFormat/>
    <w:rsid w:val="00CC2982"/>
    <w:pPr>
      <w:ind w:left="720"/>
      <w:contextualSpacing/>
      <w:jc w:val="left"/>
    </w:pPr>
    <w:rPr>
      <w:rFonts w:asciiTheme="minorHAnsi" w:eastAsiaTheme="minorEastAsia" w:hAnsiTheme="minorHAnsi"/>
      <w:color w:val="auto"/>
      <w:lang w:val="de-D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C2982"/>
    <w:rPr>
      <w:rFonts w:eastAsiaTheme="minorEastAsia"/>
      <w:sz w:val="24"/>
      <w:szCs w:val="24"/>
      <w:lang w:val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2982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asciiTheme="minorHAnsi" w:eastAsiaTheme="minorEastAsia" w:hAnsiTheme="minorHAnsi"/>
      <w:b/>
      <w:bCs/>
      <w:i/>
      <w:iCs/>
      <w:color w:val="4F81BD" w:themeColor="accent1"/>
      <w:lang w:val="de-D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2982"/>
    <w:rPr>
      <w:rFonts w:eastAsiaTheme="minorEastAsia"/>
      <w:b/>
      <w:bCs/>
      <w:i/>
      <w:iCs/>
      <w:color w:val="4F81BD" w:themeColor="accent1"/>
      <w:sz w:val="24"/>
      <w:szCs w:val="24"/>
      <w:lang w:val="de-DE"/>
    </w:rPr>
  </w:style>
  <w:style w:type="character" w:styleId="SubtleEmphasis">
    <w:name w:val="Subtle Emphasis"/>
    <w:basedOn w:val="DefaultParagraphFont"/>
    <w:uiPriority w:val="19"/>
    <w:qFormat/>
    <w:rsid w:val="00CC298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C298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C298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C298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C2982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7B11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11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1CF"/>
    <w:rPr>
      <w:rFonts w:ascii="Times New Roman" w:eastAsia="ヒラギノ角ゴ Pro W3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11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1CF"/>
    <w:rPr>
      <w:rFonts w:ascii="Times New Roman" w:eastAsia="ヒラギノ角ゴ Pro W3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D1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7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7B9"/>
    <w:rPr>
      <w:rFonts w:ascii="Times New Roman" w:eastAsia="ヒラギノ角ゴ Pro W3" w:hAnsi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7B9"/>
    <w:rPr>
      <w:rFonts w:ascii="Times New Roman" w:eastAsia="ヒラギノ角ゴ Pro W3" w:hAnsi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B9"/>
    <w:rPr>
      <w:rFonts w:ascii="Tahoma" w:eastAsia="ヒラギノ角ゴ Pro W3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3A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A09"/>
    <w:rPr>
      <w:rFonts w:ascii="Times New Roman" w:eastAsia="ヒラギノ角ゴ Pro W3" w:hAnsi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3A0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D31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mp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bcc.info/index.php?ID=63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CDD07-DFC4-40FE-97DE-03EB7496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MNHN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ZG</cp:lastModifiedBy>
  <cp:revision>5</cp:revision>
  <cp:lastPrinted>2018-06-07T10:11:00Z</cp:lastPrinted>
  <dcterms:created xsi:type="dcterms:W3CDTF">2018-07-03T08:05:00Z</dcterms:created>
  <dcterms:modified xsi:type="dcterms:W3CDTF">2018-07-03T09:48:00Z</dcterms:modified>
</cp:coreProperties>
</file>